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month of March 2019</w:t>
      </w:r>
    </w:p>
    <w:p>
      <w:pPr>
        <w:spacing w:after="0" w:line="27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Number: 001-36349</w:t>
      </w:r>
    </w:p>
    <w:p>
      <w:pPr>
        <w:spacing w:after="0" w:line="279" w:lineRule="exact"/>
        <w:rPr>
          <w:sz w:val="24"/>
          <w:szCs w:val="24"/>
          <w:color w:val="auto"/>
        </w:rPr>
      </w:pPr>
    </w:p>
    <w:p>
      <w:pPr>
        <w:ind w:left="3960"/>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1687195</wp:posOffset>
            </wp:positionH>
            <wp:positionV relativeFrom="paragraph">
              <wp:posOffset>-10795</wp:posOffset>
            </wp:positionV>
            <wp:extent cx="30435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3555" cy="17145"/>
                    </a:xfrm>
                    <a:prstGeom prst="rect">
                      <a:avLst/>
                    </a:prstGeom>
                    <a:noFill/>
                  </pic:spPr>
                </pic:pic>
              </a:graphicData>
            </a:graphic>
          </wp:anchor>
        </w:drawing>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42 Hayarkon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Yavne, 8122745 Israel</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6" w:lineRule="exact"/>
        <w:rPr>
          <w:sz w:val="24"/>
          <w:szCs w:val="24"/>
          <w:color w:val="auto"/>
        </w:rPr>
      </w:pPr>
    </w:p>
    <w:p>
      <w:pPr>
        <w:ind w:left="3520"/>
        <w:spacing w:after="0" w:line="253" w:lineRule="exact"/>
        <w:tabs>
          <w:tab w:leader="none" w:pos="52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312420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76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25, 2019, MediWound Ltd. issued a press release entitled “MediWound Reports Fourth Quarter and Fiscal Year 2018 Financial Results”. A copy of this press release is attached to this Form 6-K as Exhibit 99.1.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440" w:val="left"/>
          <w:tab w:leader="none" w:pos="6800" w:val="left"/>
        </w:tabs>
        <w:rPr>
          <w:sz w:val="20"/>
          <w:szCs w:val="20"/>
          <w:color w:val="auto"/>
        </w:rPr>
      </w:pPr>
      <w:r>
        <w:rPr>
          <w:rFonts w:ascii="Arial" w:cs="Arial" w:eastAsia="Arial" w:hAnsi="Arial"/>
          <w:sz w:val="18"/>
          <w:szCs w:val="18"/>
          <w:color w:val="auto"/>
        </w:rPr>
        <w:t>Date: March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24872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Sharon Malka</w:t>
      </w:r>
    </w:p>
    <w:p>
      <w:pPr>
        <w:spacing w:after="0" w:line="23" w:lineRule="exact"/>
        <w:rPr>
          <w:sz w:val="20"/>
          <w:szCs w:val="20"/>
          <w:color w:val="auto"/>
        </w:rPr>
      </w:pPr>
    </w:p>
    <w:p>
      <w:pPr>
        <w:ind w:left="682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36"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91"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6-K:</w:t>
      </w: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March 25, 2019 titled “MediWound Reports Fourth Quarter and Fiscal Year 2018 Financial Results”.</w:t>
      </w:r>
    </w:p>
    <w:p>
      <w:pPr>
        <w:spacing w:after="0" w:line="28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154940</wp:posOffset>
            </wp:positionV>
            <wp:extent cx="172402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MediWound Reports Fourth Quarter and Fiscal Year 2018 Financial Results</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Met Primary and All Secondary Endpoints in its Pivotal Phase 3 Study (DETECT)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NexoBrid® for Eschar Removal of Severe Thermal Burns</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Awarded Additional BARDA Contract Valued up to $43 Million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Development of NexoBrid for Sulfur Mustard Injuries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begins today at 8:30 a.m. Eastern Time</w:t>
      </w:r>
    </w:p>
    <w:p>
      <w:pPr>
        <w:spacing w:after="0" w:line="27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YAVNE, Israel (March 25, 2019) – </w:t>
      </w:r>
      <w:r>
        <w:rPr>
          <w:rFonts w:ascii="Arial" w:cs="Arial" w:eastAsia="Arial" w:hAnsi="Arial"/>
          <w:sz w:val="17"/>
          <w:szCs w:val="17"/>
          <w:color w:val="auto"/>
        </w:rPr>
        <w:t>MediWound Ltd. (Nasdaq: MDWD), a fully-integrated biopharmaceutical company bringing innovative therapies to</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unmet needs in severe burn and wound management, today announced financial results for the quarter and year ended December 31,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2018 Financial Highlights:</w:t>
      </w:r>
    </w:p>
    <w:p>
      <w:pPr>
        <w:spacing w:after="0" w:line="2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fourth quarter of 2018 were $1.0 million, an 87% increase from the fourth quarter of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full-year 2018 were $3.4 million, a 36% increase from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One-time income of $12.1 million as a result of a Settlement Agreement with Teva.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2018 Business Highlights:</w:t>
      </w:r>
    </w:p>
    <w:p>
      <w:pPr>
        <w:spacing w:after="0" w:line="27" w:lineRule="exact"/>
        <w:rPr>
          <w:sz w:val="20"/>
          <w:szCs w:val="20"/>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positive top-line results in January 2019 from the pivotal Phase 3 DETECT study in NexoBrid for eschar removal of severe thermal burns.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 to file Biologics License Application (BLA) for NexoBrid in the second half of 2019.</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a new contract by the Biomedical Advanced Research and Development Authority (BARDA) valued at up to $43 million to develop NexoBrid for the treatment of sulfur mustard injuries.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the pediatric NexoBrid Phase 3 Children Innovation Debridement Study (CIDS) to the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NexoBrid received marketing approval from South Korea’s Ministry of Health in June and from Russia’s Ministry of Health in September.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Executive Leadership changes.</w:t>
      </w:r>
    </w:p>
    <w:p>
      <w:pPr>
        <w:spacing w:after="0" w:line="26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“2018 was a pivotal year for MediWound as we made significant progress on several fronts. On the development side, after completing enrollment in our Phase 3 DETECT study of NexoBrid last summer, we announced in January 2019 that we met the primary and all secondary endpoints with statistically significant results compared with the control group,” said Gal Cohen, MediWound’s President and Chief Executive Officer. “These excellent top-line results corroborated our previous positive European Phase 3 clinical study results and further demonstrate how meaningfully NexoBrid can impact patients’ lives. We plan to file the BLA in the second half of 2019, subject to Food and Drug Administration (FDA) concurrence in a pre BLA meeting planned for the second quarter of 2019. In addition, we expanded our NexoBrid Phase 3 CIDS study in children, to U.S. burn centers after receiving FDA concurrence on the protocol and BARDA funding for the study. For EscharEx, as requested by the FDA, we submitted information on the additional suggested secondary efficacy endpoints, and subject to FDA agreement, plan to advance the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development program in the first half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“We were also pleased to receive marketing authorization from the Ministries of Health in both South Korea and Russia in 2018. These approvals further validate our strategy of using the EMA approved registration file for seeking approval in additional markets,” continued Mr. Cohen. “Additionally, BARDA’s award of another contract for the development of NexoBrid for sulfur mustard injuries was a further endorsement of our technology. This supplementary award of up to $43 million will fund the research and development activities, under the FDA Animal Rule, allowing the Agency to grant marketing approval based on adequate and well-controlled animal efficacy studies.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reported, we reached a settlement agreement with Teva Pharmaceuticals Ltd., resulting in a one-time income recognition of $12.1 million. In addition, we entered into a settlement agreement with certain shareholders of PolyHeal Ltd., which, contingent upon the Israeli Supreme Court's approval of the settlement agreement, will result in the acceptance of our appeal by the Supreme Court and the cancellation of the 2017 ruling that was issued by the District Court against MediWound” added Mr. Cohen.</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we announced earlier this month that I will step down as President and Chief Executive Officer by the end of May and that Sharon Malka, our Chief Operating Officer and Chief Financial Officer, will assume the role of CEO at that time. I would like to thank our Board, management team, employees, and shareholders for more than 12 exciting and productive years, and I wish Sharon, Steve and the entire team continued success and prosperity in the future,” concluded Mr. Cohen.</w:t>
      </w: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 am excited for the opportunity to become MediWound’s CEO and to lead our talented team at this important time for our Company,” said Mr. Malka. “I would also like to thank Gal for his long tenure of leadership and dedication to MediWound and to our employees and shareholders. I have enjoyed working with him and wish him the best in his future endeavors.”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Stephen T. Wills, MediWound's Active Chairman, added, "We continue to move ahead with the strategic process related to a potential transaction or collaboration, which is in advanced stages, in order to generate the highest possible value for our shareholders. The Board continues to be advised by Moelis</w:t>
      </w:r>
    </w:p>
    <w:p>
      <w:pPr>
        <w:jc w:val="both"/>
        <w:ind w:firstLine="8"/>
        <w:spacing w:after="0" w:line="254"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regarding evaluation and assessment of all strategic options and avenues. As stated, there can be no assurances that a definitive agreement between the parties or any other agreement will be reached. I would like to conclude by thanking Gal on behalf of the Company’s Board of Directors for more than a decade of uncompromising leadership, professionalism and dedication and wishing Sharon great success in his new role as CEO, leading MediWound’s talented team to continued growth and further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fourth quarter of 2018 were $1.0 million, an increase of 87% compared to $0.5 million for the fourth quarter of 2017.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fourth quarter of 2018 was $0.3 million, compared to a gross profit of $0.1 million for the prior year period.</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for the fourth quarter of 2018, net of participations, were $0.3 million, decrease of 77% compared with $1.2 million for the fourth quarter of 2017. The decrease was as a result of a decrease of $0.5 million in the gross research and development expenses, and an increase of $0.4 million in participations by BARDA and the Israeli Innovation Authority.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for the fourth quarter of 2018 were $2.2 million, compared with $2.5 million for the fourth quarter of 2017.</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loss from operational activities for the fourth quarter of 2018 was $2.2 million, an improvement of 38% from $3.5 million in the fourth quarter of 2017, primarily due to the decrease in research and development expenses, net and increase in revenues. In the fourth quarter of 2018, we recognized one-time other income from settlement with Teva of $7.5 million which was offset by other one-time expenses of $0.1 million associated with review and analysis of potential strategic transactions, resulting an operating profit of $5.3 million in the fourth quarter of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posted a net profit of $10.6 million, or $0.39 per share, for the fourth quarter of 2018 compared with a net loss of $2.4 million, or ($0.09) per share, for the fourth quarter of 2017.</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net profit in 2018 included one-time other income of $ 12.1 million as a result of the settlement with Teva, which was partially recorded as discontinued operation.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as defined below, for the fourth quarter of 2018 was a loss of $1.9 million, compared with a loss of $3.0 million for the fourth quarter of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2018 Financial Results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revenues for the year ended December 31, 2018 were $3.4 million compared with $2.5 million for the year ended December 31, 2017, an increase of 36%.</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for the year ended December 31, 2018 was $1.3 million, compared with a gross profit of $0.9 million in the prior year period, reflecting a gross margin of about 40%.</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for the year ended December 31, 2018, net of participations, were $4.1 million, compared with $5.5 million recorded in the year ended December 31, 2017. The decrease in research and development, net, was as a result of an increase of $3.3 million primarily in NexoBrid clinical trials expenses offset by an increase of $4.7 million in participation by BARDA in the Company’s R&amp;D expenses.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year ended December 31, 2018 were $8.0 million compared with $9.1 million in the prior year period. The decrease was primarily due to decrease in sales and marketing expenses associated with launch activities and a decrease in non-cash share-based compensation.</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loss for the year ended December 31, 2018 was $4.0 million, down from $13.7 million in the year ended December 31, 2017. Operating expenses in the year ended December 31, 2018 included other one-time other income of $7.5 million as a result settlement with Teva which was offset by other one-time expenses of $0.7 million associated with review and analysis of potential strategic transactions. The decrease in operating loss was primarily due to the one-time other income, increased revenues and the decrease in operating expenses in 2018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For the year ended December 31, 2018, the Company posted a net loss of $1.1 million, or ($0.04) per share, compared with a net loss of $22.1 million, or ($0.95) per share, for the same period in 2017. The Company's net loss in 2018 included one-time other income of $ 12.1 million as a result of the settlement with Teva, which was partially recorded as discontinued operation.</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as defined below, for the year ended December 31, 2018 was a loss of $9.5 million, compared with a loss of $11.8 million for the prior year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2018, the Company had cash, cash equivalents and short-term bank deposits of $23.6 million, compared with $36.1 million at December 31, 2017. The Company utilized $12.5 million in cash to fund ongoing operating activities during 2018.</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Throughout 2019, the Company will continue to invest primarily in research and development efforts for EscharEx, while NexoBrid research and development programs will be funded by BARDA. As a result, the Company expects cash use for operating activities in 2019 to be in the range of $12.0 million to $14.0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MediWound management will host a conference call for investors today, Monday, March 25, 2019 beginning at 8:30 a.m. Eastern Time to discuss these results and answer questions. Shareholders and other interested parties may participate in the conference call by dialing 877-602-7189 (in the U.S.) 1809 315 362 (Israel), or 678-894-3057 (outside the U.S. &amp; Israel) and entering passcode 2997019. The call also will be broadcast live on the Internet on the Company’s website at </w:t>
      </w:r>
      <w:r>
        <w:rPr>
          <w:rFonts w:ascii="Arial" w:cs="Arial" w:eastAsia="Arial" w:hAnsi="Arial"/>
          <w:sz w:val="18"/>
          <w:szCs w:val="18"/>
          <w:u w:val="single" w:color="auto"/>
          <w:color w:val="auto"/>
        </w:rPr>
        <w:t>http://ir.mediwound.com/events-and-presentations</w:t>
      </w:r>
      <w:r>
        <w:rPr>
          <w:rFonts w:ascii="Arial" w:cs="Arial" w:eastAsia="Arial" w:hAnsi="Arial"/>
          <w:sz w:val="18"/>
          <w:szCs w:val="18"/>
          <w:color w:val="auto"/>
        </w:rPr>
        <w:t>.</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 replay of the call will be accessible two hours after its completion through April 8, 2019 by dialing 855-859-2056 (in the U.S.) or 404-537-3406 (outside the U.S.) and entering passcode 2997019. The call will also be archived on the Company website for 90 days at </w:t>
      </w:r>
      <w:r>
        <w:rPr>
          <w:rFonts w:ascii="Arial" w:cs="Arial" w:eastAsia="Arial" w:hAnsi="Arial"/>
          <w:sz w:val="17"/>
          <w:szCs w:val="17"/>
          <w:u w:val="single" w:color="auto"/>
          <w:color w:val="auto"/>
        </w:rPr>
        <w:t>www.mediwound.com</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MediWound Ltd.</w:t>
      </w:r>
    </w:p>
    <w:p>
      <w:pPr>
        <w:spacing w:after="0" w:line="2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w:t>
      </w:r>
      <w:r>
        <w:rPr>
          <w:rFonts w:ascii="Arial" w:cs="Arial" w:eastAsia="Arial" w:hAnsi="Arial"/>
          <w:sz w:val="28"/>
          <w:szCs w:val="28"/>
          <w:color w:val="auto"/>
          <w:vertAlign w:val="superscript"/>
        </w:rPr>
        <w:t>®</w:t>
      </w:r>
      <w:r>
        <w:rPr>
          <w:rFonts w:ascii="Arial" w:cs="Arial" w:eastAsia="Arial" w:hAnsi="Arial"/>
          <w:sz w:val="17"/>
          <w:szCs w:val="17"/>
          <w:color w:val="auto"/>
        </w:rPr>
        <w:t>, received marketing authorization from the European Medicines Agency as well as the Israeli, Argentinian and South Korean Ministries of Health, for removal of dead or damaged tissue, known as eschar, in adults with deep partial and full-thickness thermal burns.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represents a new paradigm in burn care management, and clinical trials have demonstrated, with statistical significance, its ability to non-surgically and rapidly remove the eschar earlier and, without harming viable tissues.</w:t>
      </w:r>
    </w:p>
    <w:p>
      <w:pPr>
        <w:spacing w:after="0" w:line="247"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MediWound's second innovative product,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topical biological drug being developed for debridement of chronic and other hard-to-heal wounds and is complementary to the large number of existing wound healing products, which require a clean wound bed in order to heal the wound.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contains the same proteolytic enzyme technology as NexoBrid</w:t>
      </w:r>
      <w:r>
        <w:rPr>
          <w:rFonts w:ascii="Arial" w:cs="Arial" w:eastAsia="Arial" w:hAnsi="Arial"/>
          <w:sz w:val="26"/>
          <w:szCs w:val="26"/>
          <w:color w:val="auto"/>
          <w:vertAlign w:val="superscript"/>
        </w:rPr>
        <w:t>®</w:t>
      </w:r>
      <w:r>
        <w:rPr>
          <w:rFonts w:ascii="Arial" w:cs="Arial" w:eastAsia="Arial" w:hAnsi="Arial"/>
          <w:sz w:val="16"/>
          <w:szCs w:val="16"/>
          <w:color w:val="auto"/>
        </w:rPr>
        <w:t>, and benefits from the wealth of existing development data on NexoBrid</w:t>
      </w:r>
      <w:r>
        <w:rPr>
          <w:rFonts w:ascii="Arial" w:cs="Arial" w:eastAsia="Arial" w:hAnsi="Arial"/>
          <w:sz w:val="26"/>
          <w:szCs w:val="26"/>
          <w:color w:val="auto"/>
          <w:vertAlign w:val="superscript"/>
        </w:rPr>
        <w:t>®</w:t>
      </w:r>
      <w:r>
        <w:rPr>
          <w:rFonts w:ascii="Arial" w:cs="Arial" w:eastAsia="Arial" w:hAnsi="Arial"/>
          <w:sz w:val="16"/>
          <w:szCs w:val="16"/>
          <w:color w:val="auto"/>
        </w:rPr>
        <w:t>. In two Phase 2 studies,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has demonstrated safety and efficacy in the debridement of chronic and other hard-to-heal wounds, within a few daily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www.mediwound.com.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risks discussed under the heading “Risk Factors” in our annual report on Form 20-F for the year ended December 31, 2017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Contacts:</w:t>
            </w:r>
          </w:p>
        </w:tc>
        <w:tc>
          <w:tcPr>
            <w:tcW w:w="206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270"/>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Sharon Malka</w:t>
            </w:r>
          </w:p>
        </w:tc>
        <w:tc>
          <w:tcPr>
            <w:tcW w:w="568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70"/>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Chief Financial and Operations Officer</w:t>
            </w:r>
          </w:p>
        </w:tc>
        <w:tc>
          <w:tcPr>
            <w:tcW w:w="568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70"/>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MediWound Ltd.</w:t>
            </w:r>
          </w:p>
        </w:tc>
        <w:tc>
          <w:tcPr>
            <w:tcW w:w="2060" w:type="dxa"/>
            <w:vAlign w:val="bottom"/>
          </w:tcPr>
          <w:p>
            <w:pPr>
              <w:spacing w:after="0"/>
              <w:rPr>
                <w:sz w:val="20"/>
                <w:szCs w:val="20"/>
                <w:color w:val="auto"/>
              </w:rPr>
            </w:pPr>
            <w:r>
              <w:rPr>
                <w:rFonts w:ascii="Arial" w:cs="Arial" w:eastAsia="Arial" w:hAnsi="Arial"/>
                <w:sz w:val="18"/>
                <w:szCs w:val="18"/>
                <w:color w:val="auto"/>
              </w:rPr>
              <w:t>215-915-2568</w:t>
            </w:r>
          </w:p>
        </w:tc>
        <w:tc>
          <w:tcPr>
            <w:tcW w:w="3620" w:type="dxa"/>
            <w:vAlign w:val="bottom"/>
          </w:tcPr>
          <w:p>
            <w:pPr>
              <w:spacing w:after="0"/>
              <w:rPr>
                <w:sz w:val="23"/>
                <w:szCs w:val="23"/>
                <w:color w:val="auto"/>
              </w:rPr>
            </w:pPr>
          </w:p>
        </w:tc>
      </w:tr>
      <w:tr>
        <w:trPr>
          <w:trHeight w:val="230"/>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ir@mediwound.com</w:t>
            </w:r>
          </w:p>
        </w:tc>
        <w:tc>
          <w:tcPr>
            <w:tcW w:w="5680" w:type="dxa"/>
            <w:vAlign w:val="bottom"/>
            <w:gridSpan w:val="2"/>
          </w:tcPr>
          <w:p>
            <w:pPr>
              <w:spacing w:after="0"/>
              <w:rPr>
                <w:sz w:val="20"/>
                <w:szCs w:val="20"/>
                <w:color w:val="auto"/>
              </w:rPr>
            </w:pPr>
            <w:r>
              <w:rPr>
                <w:rFonts w:ascii="Arial" w:cs="Arial" w:eastAsia="Arial" w:hAnsi="Arial"/>
                <w:sz w:val="18"/>
                <w:szCs w:val="18"/>
                <w:color w:val="auto"/>
              </w:rPr>
              <w:t>jeremy@lifesciadvisors.com</w:t>
            </w:r>
          </w:p>
        </w:tc>
      </w:tr>
      <w:tr>
        <w:trPr>
          <w:trHeight w:val="500"/>
        </w:trPr>
        <w:tc>
          <w:tcPr>
            <w:tcW w:w="4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60" w:type="dxa"/>
            <w:vAlign w:val="bottom"/>
          </w:tcPr>
          <w:p>
            <w:pPr>
              <w:jc w:val="right"/>
              <w:spacing w:after="0"/>
              <w:rPr>
                <w:sz w:val="20"/>
                <w:szCs w:val="20"/>
                <w:color w:val="auto"/>
              </w:rPr>
            </w:pPr>
            <w:r>
              <w:rPr>
                <w:rFonts w:ascii="Arial" w:cs="Arial" w:eastAsia="Arial" w:hAnsi="Arial"/>
                <w:sz w:val="18"/>
                <w:szCs w:val="18"/>
                <w:color w:val="auto"/>
              </w:rPr>
              <w:t>7,400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32,713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long term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w:t>
            </w: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35,276</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4,897</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7,568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6,003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liability,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long term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tcPr>
          <w:p>
            <w:pPr>
              <w:jc w:val="right"/>
              <w:spacing w:after="0"/>
              <w:rPr>
                <w:sz w:val="20"/>
                <w:szCs w:val="20"/>
                <w:color w:val="auto"/>
              </w:rPr>
            </w:pPr>
            <w:r>
              <w:rPr>
                <w:rFonts w:ascii="Arial" w:cs="Arial" w:eastAsia="Arial" w:hAnsi="Arial"/>
                <w:sz w:val="18"/>
                <w:szCs w:val="18"/>
                <w:color w:val="auto"/>
              </w:rPr>
              <w:t>8,972</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35,276</w:t>
            </w:r>
          </w:p>
        </w:tc>
        <w:tc>
          <w:tcPr>
            <w:tcW w:w="20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80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PROFIT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rPr>
              <w:t>AUDITED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0" w:type="dxa"/>
            <w:vAlign w:val="bottom"/>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17,915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(13,843)</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(9,163)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(3,732)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7,987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14,605</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(3,960)</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(1,705)</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(1,057)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10,603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(2,369)</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profit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(22,178)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per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(loss) from continuing operations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profit (loss) per share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(0.04)</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(0.09)</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Weighted average number of ordinary shares used in the computation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loss per share (in thousands):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27,114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23,341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 w:name="page12"/>
    <w:bookmarkEnd w:id="11"/>
    <w:p>
      <w:pPr>
        <w:ind w:left="488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740" w:type="dxa"/>
            <w:vAlign w:val="bottom"/>
            <w:gridSpan w:val="3"/>
          </w:tcPr>
          <w:p>
            <w:pPr>
              <w:ind w:left="82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(loss)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4,608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(7,616)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8,467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AUDITED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shd w:val="clear" w:color="auto" w:fill="CCEEFF"/>
              </w:rPr>
              <w:t>Cash Flows from Operating Activities:</w:t>
            </w:r>
          </w:p>
        </w:tc>
        <w:tc>
          <w:tcPr>
            <w:tcW w:w="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Net profit (loss)</w:t>
            </w: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b w:val="1"/>
                <w:bCs w:val="1"/>
                <w:color w:val="auto"/>
              </w:rPr>
              <w:t>(1,057)</w:t>
            </w: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b w:val="1"/>
                <w:bCs w:val="1"/>
                <w:color w:val="auto"/>
              </w:rPr>
              <w:t>(22,149)</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10,603</w:t>
            </w:r>
          </w:p>
        </w:tc>
        <w:tc>
          <w:tcPr>
            <w:tcW w:w="1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(2,369)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4"/>
          </w:tcPr>
          <w:p>
            <w:pPr>
              <w:spacing w:after="0" w:line="201" w:lineRule="exact"/>
              <w:rPr>
                <w:sz w:val="20"/>
                <w:szCs w:val="20"/>
                <w:color w:val="auto"/>
              </w:rPr>
            </w:pPr>
            <w:r>
              <w:rPr>
                <w:rFonts w:ascii="Arial" w:cs="Arial" w:eastAsia="Arial" w:hAnsi="Arial"/>
                <w:sz w:val="18"/>
                <w:szCs w:val="18"/>
                <w:color w:val="auto"/>
                <w:w w:val="93"/>
              </w:rPr>
              <w:t>Adjustments to reconcile net profit (loss) to net cash used in continuing operating</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5"/>
          </w:tcPr>
          <w:p>
            <w:pPr>
              <w:spacing w:after="0"/>
              <w:rPr>
                <w:sz w:val="20"/>
                <w:szCs w:val="20"/>
                <w:color w:val="auto"/>
              </w:rPr>
            </w:pPr>
            <w:r>
              <w:rPr>
                <w:rFonts w:ascii="Arial" w:cs="Arial" w:eastAsia="Arial" w:hAnsi="Arial"/>
                <w:sz w:val="18"/>
                <w:szCs w:val="18"/>
                <w:color w:val="auto"/>
              </w:rPr>
              <w:t>activities: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Loss (profit) from discontinued operation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(4,608)</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Revaluation of contingent consideration for purchase of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from settlement agreement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Increase in severance liability, net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Unrealized foreign currency (gain) loss</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(10,089)</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Changes in asset and liability items: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(increase) in inventories</w:t>
            </w: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other receivables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 trade payables &amp; accrued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other payables &amp; deferred revenues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(1,008)</w:t>
            </w: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(14,892)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shd w:val="clear" w:color="auto" w:fill="CCEEFF"/>
              </w:rPr>
              <w:t>Cash Flows from Investment Activities:</w:t>
            </w:r>
          </w:p>
        </w:tc>
        <w:tc>
          <w:tcPr>
            <w:tcW w:w="30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Purchase of property and equipment</w:t>
            </w: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(522)</w:t>
            </w: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(1,045)</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(131)</w:t>
            </w:r>
          </w:p>
        </w:tc>
        <w:tc>
          <w:tcPr>
            <w:tcW w:w="1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Interest received</w:t>
            </w: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(investment in) short term bank deposits, net of investments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(17,040)</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shd w:val="clear" w:color="auto" w:fill="CCEEFF"/>
              </w:rPr>
              <w:t>Cash Flows from Financing Activities:</w:t>
            </w:r>
          </w:p>
        </w:tc>
        <w:tc>
          <w:tcPr>
            <w:tcW w:w="3120" w:type="dxa"/>
            <w:vAlign w:val="bottom"/>
            <w:tcBorders>
              <w:bottom w:val="single" w:sz="8" w:color="CCEEFF"/>
            </w:tcBorders>
            <w:gridSpan w:val="3"/>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Proceeds from exercise of options</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issuance of shares and warrants,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Proceeds from IIA grants, net of repayments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Exchange rate differences on cash and cash equivalent balances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(205)</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continuing activities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 cash and cash equivalents from discontinued activities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6,716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36,069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2019-12-03T20:21:55Z</dcterms:created>
  <dcterms:modified xsi:type="dcterms:W3CDTF">2019-12-03T20:21:55Z</dcterms:modified>
</cp:coreProperties>
</file>