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855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554720"/>
                    </a:xfrm>
                    <a:prstGeom prst="rect">
                      <a:avLst/>
                    </a:prstGeom>
                    <a:noFill/>
                  </pic:spPr>
                </pic:pic>
              </a:graphicData>
            </a:graphic>
          </wp:anchor>
        </w:drawing>
      </w:r>
    </w:p>
    <w:p>
      <w:pPr>
        <w:spacing w:after="0" w:line="1196" w:lineRule="exact"/>
        <w:rPr>
          <w:sz w:val="24"/>
          <w:szCs w:val="24"/>
          <w:color w:val="auto"/>
        </w:rPr>
      </w:pPr>
    </w:p>
    <w:p>
      <w:pPr>
        <w:sectPr>
          <w:pgSz w:w="11900" w:h="16902"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SHAMIR NACHUM</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MediWound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2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MEDIWOUND LTD.</w:t>
            </w:r>
          </w:p>
        </w:tc>
        <w:tc>
          <w:tcPr>
            <w:tcW w:w="15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42 HAYARKON STREET</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2"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YAVNE</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8122745</w:t>
            </w:r>
          </w:p>
        </w:tc>
      </w:tr>
      <w:tr>
        <w:trPr>
          <w:trHeight w:val="151"/>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902"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4"/>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06/03/2026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175</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13.975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49,990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06/03/2026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5,825</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w:t>
            </w:r>
          </w:p>
        </w:tc>
        <w:tc>
          <w:tcPr>
            <w:tcW w:w="1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55,815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9"/>
              </w:rPr>
              <w:t>Ordinary shares</w:t>
            </w:r>
            <w:r>
              <w:rPr>
                <w:rFonts w:ascii="Times New Roman" w:cs="Times New Roman" w:eastAsia="Times New Roman" w:hAnsi="Times New Roman"/>
                <w:sz w:val="21"/>
                <w:szCs w:val="21"/>
                <w:color w:val="008000"/>
                <w:w w:val="99"/>
                <w:vertAlign w:val="superscript"/>
              </w:rPr>
              <w:t>(1)(2)</w:t>
            </w:r>
          </w:p>
        </w:tc>
        <w:tc>
          <w:tcPr>
            <w:tcW w:w="1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4"/>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jc w:val="center"/>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13.475</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gridSpan w:val="2"/>
          </w:tcPr>
          <w:p>
            <w:pPr>
              <w:jc w:val="center"/>
              <w:ind w:right="19"/>
              <w:spacing w:after="0"/>
              <w:rPr>
                <w:sz w:val="20"/>
                <w:szCs w:val="20"/>
                <w:color w:val="auto"/>
              </w:rPr>
            </w:pPr>
            <w:r>
              <w:rPr>
                <w:rFonts w:ascii="Times New Roman" w:cs="Times New Roman" w:eastAsia="Times New Roman" w:hAnsi="Times New Roman"/>
                <w:sz w:val="13"/>
                <w:szCs w:val="13"/>
                <w:color w:val="0000FF"/>
                <w:w w:val="97"/>
              </w:rPr>
              <w:t>11/28/2022</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0000FF"/>
                <w:w w:val="97"/>
              </w:rPr>
              <w:t>11/28/2026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16,336</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16,336</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12.495</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08/17/2023</w:t>
            </w: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w w:val="97"/>
              </w:rPr>
              <w:t>08/17/2032</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28,571</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28,571</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11.885</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05/31/2024</w:t>
            </w: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w w:val="97"/>
              </w:rPr>
              <w:t>05/30/2033</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11,800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11,800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12.729</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02/26/2025</w:t>
            </w: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w w:val="97"/>
              </w:rPr>
              <w:t>02/26/2034</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12,570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12,570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18.54</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02/11/2026</w:t>
            </w: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w w:val="97"/>
              </w:rPr>
              <w:t>02/11/2035</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9,200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9,200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17.6</w:t>
            </w: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w w:val="97"/>
              </w:rPr>
              <w:t>03/04/2036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10,000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ordinary</w:t>
      </w:r>
    </w:p>
    <w:p>
      <w:pPr>
        <w:ind w:left="80"/>
        <w:spacing w:after="0" w:line="210" w:lineRule="auto"/>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(2)</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902"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4, 2026 and vest 100% on the one-year anniversary of the grant date.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affected in respect of the securities reported in this row, and the holdings in this row are being included for informational purposes only.</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reported in this row were granted to the Reporting Person on March 4, 2026 and vest 100% on the one-year anniversary of the grant date.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5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Yaron Meyer, attorney-in-</w:t>
            </w:r>
          </w:p>
        </w:tc>
        <w:tc>
          <w:tcPr>
            <w:tcW w:w="22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880" w:firstLine="3"/>
        <w:spacing w:after="0" w:line="313"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400"/>
          </w:cols>
          <w:pgMar w:left="500" w:top="179" w:right="9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696722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33020"/>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204470</wp:posOffset>
            </wp:positionV>
            <wp:extent cx="6967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7220" cy="8255"/>
                    </a:xfrm>
                    <a:prstGeom prst="rect">
                      <a:avLst/>
                    </a:prstGeom>
                    <a:noFill/>
                  </pic:spPr>
                </pic:pic>
              </a:graphicData>
            </a:graphic>
          </wp:anchor>
        </w:drawing>
        <w:t>Exhibit 24.1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36" w:lineRule="exact"/>
        <w:rPr>
          <w:sz w:val="20"/>
          <w:szCs w:val="20"/>
          <w:color w:val="auto"/>
        </w:rPr>
      </w:pPr>
    </w:p>
    <w:p>
      <w:pPr>
        <w:ind w:right="140" w:firstLine="625"/>
        <w:spacing w:after="0" w:line="290"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Yaron Meyer, Executive Vice President, General Counsel &amp; Corporate Secretary of MediWound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with full power of substitution, signing individually, the undersigned’s true and lawful attorney-in fact and agent to:</w:t>
      </w:r>
    </w:p>
    <w:p>
      <w:pPr>
        <w:spacing w:after="0" w:line="163" w:lineRule="exact"/>
        <w:rPr>
          <w:sz w:val="20"/>
          <w:szCs w:val="20"/>
          <w:color w:val="auto"/>
        </w:rPr>
      </w:pPr>
    </w:p>
    <w:p>
      <w:pPr>
        <w:ind w:right="340" w:firstLine="629"/>
        <w:spacing w:after="0" w:line="279" w:lineRule="auto"/>
        <w:tabs>
          <w:tab w:leader="none" w:pos="10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 the undersigned’s capacity as an officer, director or beneficial owner of more than 10% of a registered class of securities of the Company;</w:t>
      </w:r>
    </w:p>
    <w:p>
      <w:pPr>
        <w:spacing w:after="0" w:line="171" w:lineRule="exact"/>
        <w:rPr>
          <w:rFonts w:ascii="Times New Roman" w:cs="Times New Roman" w:eastAsia="Times New Roman" w:hAnsi="Times New Roman"/>
          <w:sz w:val="17"/>
          <w:szCs w:val="17"/>
          <w:color w:val="auto"/>
        </w:rPr>
      </w:pPr>
    </w:p>
    <w:p>
      <w:pPr>
        <w:ind w:right="240" w:firstLine="629"/>
        <w:spacing w:after="0" w:line="309" w:lineRule="auto"/>
        <w:tabs>
          <w:tab w:leader="none" w:pos="10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47" w:lineRule="exact"/>
        <w:rPr>
          <w:rFonts w:ascii="Times New Roman" w:cs="Times New Roman" w:eastAsia="Times New Roman" w:hAnsi="Times New Roman"/>
          <w:sz w:val="17"/>
          <w:szCs w:val="17"/>
          <w:color w:val="auto"/>
        </w:rPr>
      </w:pPr>
    </w:p>
    <w:p>
      <w:pPr>
        <w:ind w:right="60" w:firstLine="629"/>
        <w:spacing w:after="0" w:line="279" w:lineRule="auto"/>
        <w:tabs>
          <w:tab w:leader="none" w:pos="10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60" w:firstLine="625"/>
        <w:spacing w:after="0" w:line="276"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4" w:lineRule="exact"/>
        <w:rPr>
          <w:sz w:val="20"/>
          <w:szCs w:val="20"/>
          <w:color w:val="auto"/>
        </w:rPr>
      </w:pPr>
    </w:p>
    <w:p>
      <w:pPr>
        <w:ind w:right="160" w:firstLine="625"/>
        <w:spacing w:after="0" w:line="283"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18th day of March, 2026.</w:t>
      </w:r>
    </w:p>
    <w:p>
      <w:pPr>
        <w:spacing w:after="0" w:line="247"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Nachum Shamir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27940</wp:posOffset>
            </wp:positionV>
            <wp:extent cx="17519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51965" cy="16510"/>
                    </a:xfrm>
                    <a:prstGeom prst="rect">
                      <a:avLst/>
                    </a:prstGeom>
                    <a:noFill/>
                  </pic:spPr>
                </pic:pic>
              </a:graphicData>
            </a:graphic>
          </wp:anchor>
        </w:drawing>
      </w:r>
    </w:p>
    <w:p>
      <w:pPr>
        <w:spacing w:after="0" w:line="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Name: Nachum Shamir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696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72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309245</wp:posOffset>
            </wp:positionV>
            <wp:extent cx="696722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7220" cy="33020"/>
                    </a:xfrm>
                    <a:prstGeom prst="rect">
                      <a:avLst/>
                    </a:prstGeom>
                    <a:noFill/>
                  </pic:spPr>
                </pic:pic>
              </a:graphicData>
            </a:graphic>
          </wp:anchor>
        </w:drawing>
      </w:r>
    </w:p>
    <w:sectPr>
      <w:pgSz w:w="11900" w:h="16838" w:orient="portrait"/>
      <w:cols w:equalWidth="0" w:num="1">
        <w:col w:w="10980"/>
      </w:cols>
      <w:pgMar w:left="460" w:top="40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2164" TargetMode="External"/><Relationship Id="rId14" Type="http://schemas.openxmlformats.org/officeDocument/2006/relationships/hyperlink" Target="http://www.sec.gov/cgi-bin/browse-edgar?action=getcompany&amp;CIK=0001593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2026-06-04T15:06:44Z</dcterms:created>
  <dcterms:modified xsi:type="dcterms:W3CDTF">2026-06-04T15:06:44Z</dcterms:modified>
</cp:coreProperties>
</file>