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84"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______________________</w:t>
      </w:r>
    </w:p>
    <w:p>
      <w:pPr>
        <w:spacing w:after="0" w:line="270" w:lineRule="exact"/>
        <w:rPr>
          <w:sz w:val="24"/>
          <w:szCs w:val="24"/>
          <w:color w:val="auto"/>
        </w:rPr>
      </w:pPr>
    </w:p>
    <w:p>
      <w:pPr>
        <w:ind w:left="4440"/>
        <w:spacing w:after="0"/>
        <w:rPr>
          <w:sz w:val="20"/>
          <w:szCs w:val="20"/>
          <w:color w:val="auto"/>
        </w:rPr>
      </w:pPr>
      <w:r>
        <w:rPr>
          <w:rFonts w:ascii="Arial" w:cs="Arial" w:eastAsia="Arial" w:hAnsi="Arial"/>
          <w:sz w:val="25"/>
          <w:szCs w:val="25"/>
          <w:b w:val="1"/>
          <w:bCs w:val="1"/>
          <w:color w:val="auto"/>
        </w:rPr>
        <w:t>FORM 6-K</w:t>
      </w:r>
    </w:p>
    <w:p>
      <w:pPr>
        <w:spacing w:after="0" w:line="284"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REPORT OF FOREIGN PRIVATE ISSUER</w:t>
      </w:r>
    </w:p>
    <w:p>
      <w:pPr>
        <w:spacing w:after="0" w:line="27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Pursuant to Rule 13a-16 or 15d-16 of the</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Securities Exchange Act of 1934</w:t>
      </w:r>
    </w:p>
    <w:p>
      <w:pPr>
        <w:spacing w:after="0" w:line="261"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For the month of May 2019</w:t>
      </w:r>
    </w:p>
    <w:p>
      <w:pPr>
        <w:spacing w:after="0" w:line="279"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Commission File Number: 001-36349</w:t>
      </w:r>
    </w:p>
    <w:p>
      <w:pPr>
        <w:spacing w:after="0" w:line="279" w:lineRule="exact"/>
        <w:rPr>
          <w:sz w:val="24"/>
          <w:szCs w:val="24"/>
          <w:color w:val="auto"/>
        </w:rPr>
      </w:pPr>
    </w:p>
    <w:p>
      <w:pPr>
        <w:jc w:val="center"/>
        <w:ind w:right="-600"/>
        <w:spacing w:after="0"/>
        <w:rPr>
          <w:sz w:val="20"/>
          <w:szCs w:val="20"/>
          <w:color w:val="auto"/>
        </w:rPr>
      </w:pPr>
      <w:r>
        <w:rPr>
          <w:rFonts w:ascii="Arial" w:cs="Arial" w:eastAsia="Arial" w:hAnsi="Arial"/>
          <w:sz w:val="29"/>
          <w:szCs w:val="29"/>
          <w:b w:val="1"/>
          <w:bCs w:val="1"/>
          <w:color w:val="auto"/>
        </w:rPr>
        <w:t>MediWound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1970405</wp:posOffset>
            </wp:positionH>
            <wp:positionV relativeFrom="paragraph">
              <wp:posOffset>-19050</wp:posOffset>
            </wp:positionV>
            <wp:extent cx="24777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7770" cy="26035"/>
                    </a:xfrm>
                    <a:prstGeom prst="rect">
                      <a:avLst/>
                    </a:prstGeom>
                    <a:noFill/>
                  </pic:spPr>
                </pic:pic>
              </a:graphicData>
            </a:graphic>
          </wp:anchor>
        </w:drawing>
      </w:r>
    </w:p>
    <w:p>
      <w:pPr>
        <w:spacing w:after="0" w:line="18"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42 Hayarkon Street</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Yavne, 8122745 Israel</w:t>
      </w:r>
    </w:p>
    <w:p>
      <w:pPr>
        <w:spacing w:after="0" w:line="9"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7" w:lineRule="exact"/>
        <w:rPr>
          <w:sz w:val="24"/>
          <w:szCs w:val="24"/>
          <w:color w:val="auto"/>
        </w:rPr>
      </w:pPr>
    </w:p>
    <w:p>
      <w:pPr>
        <w:ind w:left="3780"/>
        <w:spacing w:after="0" w:line="207" w:lineRule="exact"/>
        <w:tabs>
          <w:tab w:leader="none" w:pos="52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3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w:t>
      </w:r>
    </w:p>
    <w:p>
      <w:pPr>
        <w:spacing w:after="0" w:line="30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312420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535"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21, 2019, MediWound Ltd. (the “Company”) issued a press release entitled “MediWound Reports First Quarter 2019 Financial Results”. A copy of this press release is attached to this Form 6-K as Exhibit 99.1.</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pursuant to the Information Rights Agreement between the Company and Clal Biotechnology Industries Ltd. ("CBI"), dated March 3, 2014 (which was attached to the Company's registration statement as exhibit 4.3), the Company is required to provide CBI with certain information necessary for CBI to meet its obligations under Israeli Securities Law. This Form 6-K includes an Un-Audited Condensed Consolidated Interim Financial Statements as of March 31, 2019, attached as Exhibit 99.2, which was provided by the Company to CBI on May 20, 2019 pursuant to such contractual obligation.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740" w:type="dxa"/>
            <w:vAlign w:val="bottom"/>
            <w:gridSpan w:val="2"/>
          </w:tcPr>
          <w:p>
            <w:pPr>
              <w:ind w:left="2540"/>
              <w:spacing w:after="0"/>
              <w:rPr>
                <w:sz w:val="20"/>
                <w:szCs w:val="20"/>
                <w:color w:val="auto"/>
              </w:rPr>
            </w:pPr>
            <w:r>
              <w:rPr>
                <w:rFonts w:ascii="Arial" w:cs="Arial" w:eastAsia="Arial" w:hAnsi="Arial"/>
                <w:sz w:val="18"/>
                <w:szCs w:val="18"/>
                <w:color w:val="auto"/>
              </w:rPr>
              <w:t>MEDIWOUND LTD.</w:t>
            </w:r>
          </w:p>
        </w:tc>
      </w:tr>
      <w:tr>
        <w:trPr>
          <w:trHeight w:val="439"/>
        </w:trPr>
        <w:tc>
          <w:tcPr>
            <w:tcW w:w="3360" w:type="dxa"/>
            <w:vAlign w:val="bottom"/>
          </w:tcPr>
          <w:p>
            <w:pPr>
              <w:spacing w:after="0"/>
              <w:rPr>
                <w:sz w:val="20"/>
                <w:szCs w:val="20"/>
                <w:color w:val="auto"/>
              </w:rPr>
            </w:pPr>
            <w:r>
              <w:rPr>
                <w:rFonts w:ascii="Arial" w:cs="Arial" w:eastAsia="Arial" w:hAnsi="Arial"/>
                <w:sz w:val="18"/>
                <w:szCs w:val="18"/>
                <w:color w:val="auto"/>
              </w:rPr>
              <w:t>Date: May 21, 2019</w:t>
            </w:r>
          </w:p>
        </w:tc>
        <w:tc>
          <w:tcPr>
            <w:tcW w:w="3040" w:type="dxa"/>
            <w:vAlign w:val="bottom"/>
          </w:tcPr>
          <w:p>
            <w:pPr>
              <w:ind w:left="190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/s/ Sharon Malka</w:t>
            </w:r>
          </w:p>
        </w:tc>
      </w:tr>
      <w:tr>
        <w:trPr>
          <w:trHeight w:val="202"/>
        </w:trPr>
        <w:tc>
          <w:tcPr>
            <w:tcW w:w="3360" w:type="dxa"/>
            <w:vAlign w:val="bottom"/>
          </w:tcPr>
          <w:p>
            <w:pPr>
              <w:spacing w:after="0"/>
              <w:rPr>
                <w:sz w:val="17"/>
                <w:szCs w:val="17"/>
                <w:color w:val="auto"/>
              </w:rPr>
            </w:pPr>
          </w:p>
        </w:tc>
        <w:tc>
          <w:tcPr>
            <w:tcW w:w="3040" w:type="dxa"/>
            <w:vAlign w:val="bottom"/>
          </w:tcPr>
          <w:p>
            <w:pPr>
              <w:ind w:left="2540"/>
              <w:spacing w:after="0" w:line="201" w:lineRule="exact"/>
              <w:rPr>
                <w:sz w:val="20"/>
                <w:szCs w:val="20"/>
                <w:color w:val="auto"/>
              </w:rPr>
            </w:pPr>
            <w:r>
              <w:rPr>
                <w:rFonts w:ascii="Arial" w:cs="Arial" w:eastAsia="Arial" w:hAnsi="Arial"/>
                <w:sz w:val="18"/>
                <w:szCs w:val="18"/>
                <w:color w:val="auto"/>
                <w:w w:val="90"/>
              </w:rPr>
              <w:t>Name:</w:t>
            </w:r>
          </w:p>
        </w:tc>
        <w:tc>
          <w:tcPr>
            <w:tcW w:w="3700" w:type="dxa"/>
            <w:vAlign w:val="bottom"/>
          </w:tcPr>
          <w:p>
            <w:pPr>
              <w:ind w:left="640"/>
              <w:spacing w:after="0" w:line="201" w:lineRule="exact"/>
              <w:rPr>
                <w:sz w:val="20"/>
                <w:szCs w:val="20"/>
                <w:color w:val="auto"/>
              </w:rPr>
            </w:pPr>
            <w:r>
              <w:rPr>
                <w:rFonts w:ascii="Arial" w:cs="Arial" w:eastAsia="Arial" w:hAnsi="Arial"/>
                <w:sz w:val="18"/>
                <w:szCs w:val="18"/>
                <w:color w:val="auto"/>
              </w:rPr>
              <w:t>Sharon Malka</w:t>
            </w:r>
          </w:p>
        </w:tc>
      </w:tr>
      <w:tr>
        <w:trPr>
          <w:trHeight w:val="230"/>
        </w:trPr>
        <w:tc>
          <w:tcPr>
            <w:tcW w:w="3360" w:type="dxa"/>
            <w:vAlign w:val="bottom"/>
          </w:tcPr>
          <w:p>
            <w:pPr>
              <w:spacing w:after="0"/>
              <w:rPr>
                <w:sz w:val="20"/>
                <w:szCs w:val="20"/>
                <w:color w:val="auto"/>
              </w:rPr>
            </w:pPr>
          </w:p>
        </w:tc>
        <w:tc>
          <w:tcPr>
            <w:tcW w:w="3040" w:type="dxa"/>
            <w:vAlign w:val="bottom"/>
          </w:tcPr>
          <w:p>
            <w:pPr>
              <w:ind w:left="2540"/>
              <w:spacing w:after="0"/>
              <w:rPr>
                <w:sz w:val="20"/>
                <w:szCs w:val="20"/>
                <w:color w:val="auto"/>
              </w:rPr>
            </w:pPr>
            <w:r>
              <w:rPr>
                <w:rFonts w:ascii="Arial" w:cs="Arial" w:eastAsia="Arial" w:hAnsi="Arial"/>
                <w:sz w:val="18"/>
                <w:szCs w:val="18"/>
                <w:color w:val="auto"/>
              </w:rPr>
              <w:t>Title:</w:t>
            </w:r>
          </w:p>
        </w:tc>
        <w:tc>
          <w:tcPr>
            <w:tcW w:w="3700" w:type="dxa"/>
            <w:vAlign w:val="bottom"/>
          </w:tcPr>
          <w:p>
            <w:pPr>
              <w:ind w:left="64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121" w:right="71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Form 6-K:</w:t>
      </w:r>
    </w:p>
    <w:p>
      <w:pPr>
        <w:spacing w:after="0" w:line="32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dated May 21, 2019 titled “MediWound Reports First Quarter 2019 Financial Results”.</w:t>
      </w:r>
    </w:p>
    <w:p>
      <w:pPr>
        <w:spacing w:after="0" w:line="27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0000EE"/>
        </w:rPr>
        <w:t>99.2</w:t>
      </w:r>
      <w:r>
        <w:rPr>
          <w:sz w:val="20"/>
          <w:szCs w:val="20"/>
          <w:color w:val="auto"/>
        </w:rPr>
        <w:tab/>
      </w:r>
      <w:r>
        <w:rPr>
          <w:rFonts w:ascii="Arial" w:cs="Arial" w:eastAsia="Arial" w:hAnsi="Arial"/>
          <w:sz w:val="16"/>
          <w:szCs w:val="16"/>
          <w:u w:val="single" w:color="auto"/>
          <w:color w:val="0000EE"/>
        </w:rPr>
        <w:t>Un-Audited Condensed Consolidated Interim Financial Statements as of March 31, 2019.</w:t>
      </w:r>
    </w:p>
    <w:p>
      <w:pPr>
        <w:spacing w:after="0" w:line="200" w:lineRule="exact"/>
        <w:rPr>
          <w:sz w:val="20"/>
          <w:szCs w:val="20"/>
          <w:color w:val="auto"/>
        </w:rPr>
      </w:pPr>
    </w:p>
    <w:p>
      <w:pPr>
        <w:spacing w:after="0" w:line="34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189230</wp:posOffset>
            </wp:positionV>
            <wp:extent cx="1724025" cy="540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402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MediWound Reports First Quarter 2019 Financial Results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Met Primary and All Secondary Endpoints in Pivotal Phase 3 DETECT Study;</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2"/>
          <w:szCs w:val="22"/>
          <w:i w:val="1"/>
          <w:iCs w:val="1"/>
          <w:color w:val="auto"/>
        </w:rPr>
        <w:t>Nexobrid BLA Filing Planned for Fourth Quarter of 2019</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Signed Exclusive License Agreement with Vericel for Commercial Rights to</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2"/>
          <w:szCs w:val="22"/>
          <w:i w:val="1"/>
          <w:iCs w:val="1"/>
          <w:color w:val="auto"/>
        </w:rPr>
        <w:t>NexoBrid® in North America</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Conference call begins today at 8:30 a.m. Eastern Time</w:t>
      </w:r>
    </w:p>
    <w:p>
      <w:pPr>
        <w:spacing w:after="0" w:line="277"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YAVNE, Israel (May 21, 2019) – </w:t>
      </w:r>
      <w:r>
        <w:rPr>
          <w:rFonts w:ascii="Arial" w:cs="Arial" w:eastAsia="Arial" w:hAnsi="Arial"/>
          <w:sz w:val="17"/>
          <w:szCs w:val="17"/>
          <w:color w:val="auto"/>
        </w:rPr>
        <w:t>MediWound Ltd. (Nasdaq: MDWD), a fully-integrated biopharmaceutical company bringing innovative therapies to</w:t>
      </w:r>
      <w:r>
        <w:rPr>
          <w:rFonts w:ascii="Arial" w:cs="Arial" w:eastAsia="Arial" w:hAnsi="Arial"/>
          <w:sz w:val="17"/>
          <w:szCs w:val="17"/>
          <w:b w:val="1"/>
          <w:bCs w:val="1"/>
          <w:color w:val="auto"/>
        </w:rPr>
        <w:t xml:space="preserve"> </w:t>
      </w:r>
      <w:r>
        <w:rPr>
          <w:rFonts w:ascii="Arial" w:cs="Arial" w:eastAsia="Arial" w:hAnsi="Arial"/>
          <w:sz w:val="17"/>
          <w:szCs w:val="17"/>
          <w:color w:val="auto"/>
        </w:rPr>
        <w:t>address unmet needs in severe burn and wound management, today announced financial results for the quarter ended March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2019 Business and Financial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revenues for the first quarter of 2019 were $0.5 million, flat versus the first quarter of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Announced positive top-line results in January from the pivotal Phase 3 DETECT study in NexoBrid for eschar removal of severe thermal burns.</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Entered into exclusive license and supply agreements with Vericel Corporation in May to commercialize NexoBrid in North America for an upfront payment of $17.5 million, sales royalties, and up to $132.5 million in potential milestones.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Announced Executive Leadership changes.</w:t>
      </w:r>
    </w:p>
    <w:p>
      <w:pPr>
        <w:spacing w:after="0" w:line="2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had a terrific start to 2019, highlighted by positive top-line results from our Phase 3 DETECT study of NexoBrid, in which we met primary and all secondary endpoints with statistical significance, as well as by the execution of license and supply agreements with Vericel to market NexoBrid in North America,” said Sharon Malka, MediWound’s Chief Executive Officer. “The results, which were robust across all endpoints, corroborate our previous positive European Phase 3 clinical study results and clearly demonstrate the significant beneficial impact NexoBrid has on burn patients as a new paradigm in burn care management. We plan to file the NexoBrid BLA in the fourth quarter of 2019, subject to FDA concurrence in a pre-BLA meeting. The Vericel deal – which includes a $17.5 million upfront payment, a $7.5 million payment contingent upon U.S. BLA approval, tiered royalty payments, and up to $125 million in annual sales milestones – provides both clinical and commercial validation for NexoBrid as an innovative solution for the U.S. burn care market.”</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Malka continued, “This collaboration provides us with an ideal commercial partner to maximize the medical and commercial potential of NexoBrid in North America and with the funds to advance and optimize the development of EscharEx, our topical biologic drug candidate for the debridement of chronic and other hard-to-heal wounds, through BLA filing. We expect to commence the next phase of our EscharEx clinical development program within the next few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7"/>
          <w:szCs w:val="17"/>
          <w:color w:val="auto"/>
        </w:rPr>
        <w:t>Stephen T. Wills, MediWound's Active Chairman, added, "After a comprehensive strategic review process, we are excited to partner with Vericel in advancing NexoBrid towards U.S. market approval. We will continue to be opportunistic in seeking collaborations for NexoBrid in other markets and with the assessment of potential strategic opportunities for EscharEx as the development program advances towards regulatory approval.”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first quarter of 2019 were $0.5 million, which was flat versus the first quarter of 2018.</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Gross profit for the first quarter of 2019 was $0.15 million, compared to a gross profit of $0.14 million for the prior-year period.</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for the first quarter of 2019, net of participations, were $1.3 million, compared with $1.2 million for the first quarter of 2018.</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first quarter of 2019 were $2.4 million, compared with $2.1 million for the first quarter of 2018. The increase was primarily as a result of one-time management transition costs.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for the first quarter of 2019 was $3.6 million, compared with $3.7 million in the first quarter of 2018.</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posted a net loss of $4.1 million, or ($0.15) per share, for the first quarter of 2019 compared with a net loss of $4.6 million, or ($0.17) per share, for the first quarter of 2018.</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as defined below, for the first quarter of 2019 was a loss of $2.9 million, compared with a loss of $2.8 million for the first quarter of 2018.</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2019, the Company had cash, cash equivalents and short-term bank deposits of $21.5 million, compared with $23.6 million at December 31, 2018. We believe that the existing cash combined with the proceeds generated from the collaboration with Vericel, will allow us to significantly advance the ongoing development of EscharEx through BLA filing.</w:t>
      </w:r>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Throughout 2019, the Company will continue to invest primarily in research and development efforts for EscharEx, while NexoBrid research and development programs will be funded by BARDA. As a result, the Company expects cash use for ongoing operating activities in 2019 to be in the range of $12.0 million to $14.0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MediWound management will host a conference call for investors today, Tuesday, May 21, 2019 beginning at 8:30 a.m. Eastern Time to discuss these results and answer questions. Shareholders and other interested parties may participate in the conference call by dialing 877-602-7189 (in the U.S.) 1809 315 362 (Israel), or 678-894-3057 (outside the U.S. &amp; Israel) and entering passcode 7396504. The call also will be broadcast live on the Internet on the Company’s website at </w:t>
      </w:r>
      <w:r>
        <w:rPr>
          <w:rFonts w:ascii="Arial" w:cs="Arial" w:eastAsia="Arial" w:hAnsi="Arial"/>
          <w:sz w:val="18"/>
          <w:szCs w:val="18"/>
          <w:u w:val="single" w:color="auto"/>
          <w:color w:val="auto"/>
        </w:rPr>
        <w:t>http://ir.mediwound.com/events-and-presentations</w:t>
      </w:r>
      <w:r>
        <w:rPr>
          <w:rFonts w:ascii="Arial" w:cs="Arial" w:eastAsia="Arial" w:hAnsi="Arial"/>
          <w:sz w:val="18"/>
          <w:szCs w:val="18"/>
          <w:color w:val="auto"/>
        </w:rPr>
        <w:t>.</w:t>
      </w:r>
    </w:p>
    <w:p>
      <w:pPr>
        <w:spacing w:after="0" w:line="2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 replay of the call will be accessible two hours after its completion through June 4, 2019 by dialing 855-859-2056 (in the U.S.) or 404-537-3406 (outside the U.S.) and entering passcode 7396504. The call will also be archived on the Company website for 90 days at </w:t>
      </w:r>
      <w:r>
        <w:rPr>
          <w:rFonts w:ascii="Arial" w:cs="Arial" w:eastAsia="Arial" w:hAnsi="Arial"/>
          <w:sz w:val="17"/>
          <w:szCs w:val="17"/>
          <w:u w:val="single" w:color="auto"/>
          <w:color w:val="auto"/>
        </w:rPr>
        <w:t>www.mediwound.com</w:t>
      </w:r>
      <w:r>
        <w:rPr>
          <w:rFonts w:ascii="Arial" w:cs="Arial" w:eastAsia="Arial" w:hAnsi="Arial"/>
          <w:sz w:val="17"/>
          <w:szCs w:val="17"/>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To supplement consolidated financial statements prepared and presented in accordance with IFRS, the Company has provided a supplementary non-IFRS measure to consider in evaluating the Company's performance. Management uses Adjusted EBITDA, which it defines as earnings before interest, taxes, depreciation and amortization, impairment, one-time expenses, restructuring and share-based compensation expenses.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Adjusted EBITDA is not a measure of performance or liquidity calculated in accordance with IFRS, we believe the non-IFRS financial measures we present provide meaningful supplemental information regarding our operating results primarily because they exclude certain non-cash charges or items that we do not believe are reflective of our ongoing operating results when budgeting, planning and forecasting and determining compensation, and when assessing the performance of our business with our senior management.</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However, investors should not consider these measures in isolation or as substitutes for operating income, cash flows from operating activities or any other measure for determining the Company's operating performance or liquidity that is calculated in accordance with IFRS. In addition, because Adjusted EBITDA is not calculated in accordance with IFRS, it may not necessarily be comparable to similarly titled measures employed by other companies. The non-IFRS measures included in this press release have been reconciled to the IFRS results in the tables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MediWound Ltd.</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MediWound is a fully-integrated biopharmaceutical company focused on developing, manufacturing and commercializing novel therapeutics based on its patented proteolytic enzyme technology to address unmet needs in the fields of severe burns, chronic and other hard-to-heal wounds. MediWound’s first innovative biopharmaceutical product, NexoBrid® demonstrated in clinical trials, with statistical significance the ability to non-surgically and rapidly remove the eschar earlier and, without harming viable tissue. The product has received marketing authorization from the European Medicines Agency as well as the Israeli, Argentinian, South Korean and Russian Ministries of Health. MediWound's second innovative product, EscharEx® is a topical biological drug for the debridement of chronic and other hard-to-heal wounds using the same proteolytic enzyme technology as NexoBrid®. In two Phase 2 studies, EscharEx® has demonstrated safety and efficacy in the debridement of chronic and other hard-to-heal wounds, within a few daily applications. For more information, please visit www.mediwound.com.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release includes forward-looking statements within the meaning of Section 27A of the U.S. Securities Act of 1933, as amended, Section 21E of the US Securities Exchange Act of 1934, as amended, and the safe harbor provisions of the U.S. Private Securities Litigation Reform Act of 1995. Forward-looking statements are statements that are not historical facts, such as statements regarding assumptions and results related to timing of regulatory filings and submissions, expected payments under the license and supply agreements; anticipated uses of such payments and the regulatory authorizations and launch dates. In some cases, you can identify forward-looking statements by terminology such as “believe,” “may,” “estimate,” “continue,” “anticipate,” “intend,” “should,” “plan,” “expect,” “predict,” “potential,” or the negative of these terms or other similar expressions. Forward-looking statements are based on MediWound’s current knowledge and its present beliefs and expectations regarding possible future events and are subject to risks, uncertainties and assumptions. Actual results and the timing of events could differ materially from those anticipated in these forward-looking statements as a result of several factors. In particular, you should consider that we may not submit the BLA to FDA in the timeframe expected, or at all; FDA may not provide marketing approval for NexoBrid in the United States and, if such approval is obtained, Vericel may not be able to successfully commercialize NexoBrid in the United States; and the risks discussed under the heading “Risk Factors” in our annual report on Form 20-F for the year ended December 31, 2018 and information contained in other documents filed with or furnished to the Securities and Exchange Commission.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The forward-looking statements made herein speak only as of the date of this announcement and MediWound undertakes no obligation to update publicly such forward-looking statements to reflect subsequent events or circumstances, except as otherwise required by law.</w:t>
      </w:r>
    </w:p>
    <w:p>
      <w:pPr>
        <w:sectPr>
          <w:pgSz w:w="11900" w:h="16838" w:orient="portrait"/>
          <w:cols w:equalWidth="0" w:num="1">
            <w:col w:w="11420"/>
          </w:cols>
          <w:pgMar w:left="240" w:top="121" w:right="239" w:bottom="1440" w:gutter="0" w:footer="0" w:header="0"/>
        </w:sect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Sharon Malka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MediWound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ir@mediwound.com</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Jeremy Feffer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Managing Director, LifeSci Advisors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212-915-2568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jeremy@lifesciadvisors.com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186055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5000" w:space="720"/>
            <w:col w:w="5700"/>
          </w:cols>
          <w:pgMar w:left="240" w:top="121" w:right="239" w:bottom="1440" w:gutter="0" w:footer="0" w:header="0"/>
          <w:type w:val="continuous"/>
        </w:sectPr>
      </w:pPr>
    </w:p>
    <w:bookmarkStart w:id="8" w:name="page9"/>
    <w:bookmarkEnd w:id="8"/>
    <w:p>
      <w:pPr>
        <w:jc w:val="center"/>
        <w:ind w:right="-59"/>
        <w:spacing w:after="0"/>
        <w:rPr>
          <w:sz w:val="20"/>
          <w:szCs w:val="20"/>
          <w:color w:val="auto"/>
        </w:rPr>
      </w:pPr>
      <w:r>
        <w:rPr>
          <w:rFonts w:ascii="Arial" w:cs="Arial" w:eastAsia="Arial" w:hAnsi="Arial"/>
          <w:sz w:val="22"/>
          <w:szCs w:val="22"/>
          <w:b w:val="1"/>
          <w:bCs w:val="1"/>
          <w:color w:val="auto"/>
        </w:rPr>
        <w:t>MediWound, Ltd</w:t>
      </w:r>
      <w:r>
        <w:rPr>
          <w:rFonts w:ascii="Arial" w:cs="Arial" w:eastAsia="Arial" w:hAnsi="Arial"/>
          <w:sz w:val="22"/>
          <w:szCs w:val="22"/>
          <w:color w:val="auto"/>
        </w:rPr>
        <w: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740" w:type="dxa"/>
            <w:vAlign w:val="bottom"/>
            <w:gridSpan w:val="3"/>
          </w:tcPr>
          <w:p>
            <w:pPr>
              <w:ind w:left="860"/>
              <w:spacing w:after="0"/>
              <w:rPr>
                <w:sz w:val="20"/>
                <w:szCs w:val="20"/>
                <w:color w:val="auto"/>
              </w:rPr>
            </w:pPr>
            <w:r>
              <w:rPr>
                <w:rFonts w:ascii="Arial" w:cs="Arial" w:eastAsia="Arial" w:hAnsi="Arial"/>
                <w:sz w:val="18"/>
                <w:szCs w:val="18"/>
                <w:b w:val="1"/>
                <w:bCs w:val="1"/>
                <w:color w:val="auto"/>
              </w:rPr>
              <w:t>March 31,</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Un-</w:t>
            </w: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4"/>
              </w:rPr>
              <w:t>audited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 term deposits</w:t>
            </w:r>
          </w:p>
        </w:tc>
        <w:tc>
          <w:tcPr>
            <w:tcW w:w="1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21,517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Accounts and other receivable</w:t>
            </w:r>
          </w:p>
        </w:tc>
        <w:tc>
          <w:tcPr>
            <w:tcW w:w="1180" w:type="dxa"/>
            <w:vAlign w:val="bottom"/>
          </w:tcPr>
          <w:p>
            <w:pPr>
              <w:jc w:val="right"/>
              <w:spacing w:after="0"/>
              <w:rPr>
                <w:sz w:val="20"/>
                <w:szCs w:val="20"/>
                <w:color w:val="auto"/>
              </w:rPr>
            </w:pPr>
            <w:r>
              <w:rPr>
                <w:rFonts w:ascii="Arial" w:cs="Arial" w:eastAsia="Arial" w:hAnsi="Arial"/>
                <w:sz w:val="18"/>
                <w:szCs w:val="18"/>
                <w:color w:val="auto"/>
              </w:rPr>
              <w:t>6,738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29,727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38,205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32,713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 term deposits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80" w:type="dxa"/>
            <w:vAlign w:val="bottom"/>
          </w:tcPr>
          <w:p>
            <w:pPr>
              <w:jc w:val="right"/>
              <w:spacing w:after="0"/>
              <w:rPr>
                <w:sz w:val="20"/>
                <w:szCs w:val="20"/>
                <w:color w:val="auto"/>
              </w:rPr>
            </w:pPr>
            <w:r>
              <w:rPr>
                <w:rFonts w:ascii="Arial" w:cs="Arial" w:eastAsia="Arial" w:hAnsi="Arial"/>
                <w:sz w:val="18"/>
                <w:szCs w:val="18"/>
                <w:color w:val="auto"/>
              </w:rPr>
              <w:t>2,151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180" w:type="dxa"/>
            <w:vAlign w:val="bottom"/>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long term assets</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5,065</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2,595</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34,792</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40,800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35,276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maturities of long-term liabilities</w:t>
            </w:r>
          </w:p>
        </w:tc>
        <w:tc>
          <w:tcPr>
            <w:tcW w:w="1180" w:type="dxa"/>
            <w:vAlign w:val="bottom"/>
          </w:tcPr>
          <w:p>
            <w:pPr>
              <w:jc w:val="right"/>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payables</w:t>
            </w:r>
          </w:p>
        </w:tc>
        <w:tc>
          <w:tcPr>
            <w:tcW w:w="1180" w:type="dxa"/>
            <w:vAlign w:val="bottom"/>
          </w:tcPr>
          <w:p>
            <w:pPr>
              <w:jc w:val="right"/>
              <w:spacing w:after="0"/>
              <w:rPr>
                <w:sz w:val="20"/>
                <w:szCs w:val="20"/>
                <w:color w:val="auto"/>
              </w:rPr>
            </w:pPr>
            <w:r>
              <w:rPr>
                <w:rFonts w:ascii="Arial" w:cs="Arial" w:eastAsia="Arial" w:hAnsi="Arial"/>
                <w:sz w:val="18"/>
                <w:szCs w:val="18"/>
                <w:color w:val="auto"/>
              </w:rPr>
              <w:t>2,438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2,204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7,452</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6,294</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revenues</w:t>
            </w:r>
          </w:p>
        </w:tc>
        <w:tc>
          <w:tcPr>
            <w:tcW w:w="1180" w:type="dxa"/>
            <w:vAlign w:val="bottom"/>
          </w:tcPr>
          <w:p>
            <w:pPr>
              <w:jc w:val="right"/>
              <w:spacing w:after="0"/>
              <w:rPr>
                <w:sz w:val="20"/>
                <w:szCs w:val="20"/>
                <w:color w:val="auto"/>
              </w:rPr>
            </w:pPr>
            <w:r>
              <w:rPr>
                <w:rFonts w:ascii="Arial" w:cs="Arial" w:eastAsia="Arial" w:hAnsi="Arial"/>
                <w:sz w:val="18"/>
                <w:szCs w:val="18"/>
                <w:color w:val="auto"/>
              </w:rPr>
              <w:t>1,145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Liabilities in respect of Israeli Innovation Authority grants net of current maturities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Contingent consideration for the purchase of shares net of current maturities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5,186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14,208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Liability in respect of discontinued operation</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Lease liability, net of current maturities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2,043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Severance pay liability, net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long term liabilities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22,199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29,478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21,407</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Shareholders' equity</w:t>
            </w:r>
          </w:p>
        </w:tc>
        <w:tc>
          <w:tcPr>
            <w:tcW w:w="1180" w:type="dxa"/>
            <w:vAlign w:val="bottom"/>
          </w:tcPr>
          <w:p>
            <w:pPr>
              <w:jc w:val="right"/>
              <w:spacing w:after="0"/>
              <w:rPr>
                <w:sz w:val="20"/>
                <w:szCs w:val="20"/>
                <w:color w:val="auto"/>
              </w:rPr>
            </w:pPr>
            <w:r>
              <w:rPr>
                <w:rFonts w:ascii="Arial" w:cs="Arial" w:eastAsia="Arial" w:hAnsi="Arial"/>
                <w:sz w:val="18"/>
                <w:szCs w:val="18"/>
                <w:color w:val="auto"/>
              </w:rPr>
              <w:t>5,141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&amp; shareholder equity</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34,792</w:t>
            </w:r>
          </w:p>
        </w:tc>
        <w:tc>
          <w:tcPr>
            <w:tcW w:w="200" w:type="dxa"/>
            <w:vAlign w:val="bottom"/>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40,800</w:t>
            </w:r>
          </w:p>
        </w:tc>
        <w:tc>
          <w:tcPr>
            <w:tcW w:w="220" w:type="dxa"/>
            <w:vAlign w:val="bottom"/>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35,276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2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LOSS (ANAUDITED)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180" w:type="dxa"/>
            <w:vAlign w:val="bottom"/>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gross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Participation by BARDA &amp; IIA</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(2,903)</w:t>
            </w: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net of participations</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tcPr>
          <w:p>
            <w:pPr>
              <w:jc w:val="right"/>
              <w:spacing w:after="0"/>
              <w:rPr>
                <w:sz w:val="20"/>
                <w:szCs w:val="20"/>
                <w:color w:val="auto"/>
              </w:rPr>
            </w:pPr>
            <w:r>
              <w:rPr>
                <w:rFonts w:ascii="Arial" w:cs="Arial" w:eastAsia="Arial" w:hAnsi="Arial"/>
                <w:sz w:val="18"/>
                <w:szCs w:val="18"/>
                <w:color w:val="auto"/>
              </w:rPr>
              <w:t>2,365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(3,579)</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Financial expense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(642)</w:t>
            </w: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(4,160)</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Profit from discontinued operation</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(4,110)</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(4,106)</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(4,561)</w:t>
            </w:r>
          </w:p>
        </w:tc>
        <w:tc>
          <w:tcPr>
            <w:tcW w:w="0" w:type="dxa"/>
            <w:vAlign w:val="bottom"/>
          </w:tcPr>
          <w:p>
            <w:pPr>
              <w:spacing w:after="0"/>
              <w:rPr>
                <w:sz w:val="1"/>
                <w:szCs w:val="1"/>
                <w:color w:val="auto"/>
              </w:rPr>
            </w:pPr>
          </w:p>
        </w:tc>
      </w:tr>
      <w:tr>
        <w:trPr>
          <w:trHeight w:val="21"/>
        </w:trPr>
        <w:tc>
          <w:tcPr>
            <w:tcW w:w="2500" w:type="dxa"/>
            <w:vAlign w:val="bottom"/>
            <w:gridSpan w:val="2"/>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Basic and diluted loss per share:</w:t>
            </w: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Profit from discontinued operation</w:t>
            </w:r>
          </w:p>
        </w:tc>
        <w:tc>
          <w:tcPr>
            <w:tcW w:w="1180" w:type="dxa"/>
            <w:vAlign w:val="bottom"/>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Weighted average number of ordinary shares used in the computation of basic and diluted loss per share:</w:t>
            </w:r>
          </w:p>
        </w:tc>
        <w:tc>
          <w:tcPr>
            <w:tcW w:w="1180" w:type="dxa"/>
            <w:vAlign w:val="bottom"/>
          </w:tcPr>
          <w:p>
            <w:pPr>
              <w:jc w:val="right"/>
              <w:spacing w:after="0"/>
              <w:rPr>
                <w:sz w:val="20"/>
                <w:szCs w:val="20"/>
                <w:color w:val="auto"/>
              </w:rPr>
            </w:pPr>
            <w:r>
              <w:rPr>
                <w:rFonts w:ascii="Arial" w:cs="Arial" w:eastAsia="Arial" w:hAnsi="Arial"/>
                <w:sz w:val="18"/>
                <w:szCs w:val="18"/>
                <w:color w:val="auto"/>
              </w:rPr>
              <w:t>27,179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27,048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10" w:name="page11"/>
    <w:bookmarkEnd w:id="10"/>
    <w:p>
      <w:pPr>
        <w:ind w:left="4880"/>
        <w:spacing w:after="0"/>
        <w:rPr>
          <w:sz w:val="20"/>
          <w:szCs w:val="20"/>
          <w:color w:val="auto"/>
        </w:rPr>
      </w:pPr>
      <w:r>
        <w:rPr>
          <w:rFonts w:ascii="Arial" w:cs="Arial" w:eastAsia="Arial" w:hAnsi="Arial"/>
          <w:sz w:val="18"/>
          <w:szCs w:val="18"/>
          <w:b w:val="1"/>
          <w:bCs w:val="1"/>
          <w:color w:val="auto"/>
        </w:rPr>
        <w:t>ADJUSTED EBITDA</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U.S.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Adjustments: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Profit from discontinued operation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adjustments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(1,169)</w:t>
            </w: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(2,941)</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60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89"/>
              </w:rPr>
              <w:t>Three months ended</w:t>
            </w:r>
          </w:p>
        </w:tc>
      </w:tr>
      <w:tr>
        <w:trPr>
          <w:trHeight w:val="241"/>
        </w:trPr>
        <w:tc>
          <w:tcPr>
            <w:tcW w:w="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700" w:type="dxa"/>
            <w:vAlign w:val="bottom"/>
            <w:tcBorders>
              <w:bottom w:val="single" w:sz="8" w:color="auto"/>
            </w:tcBorders>
            <w:gridSpan w:val="5"/>
          </w:tcPr>
          <w:p>
            <w:pPr>
              <w:jc w:val="center"/>
              <w:ind w:left="69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r>
      <w:tr>
        <w:trPr>
          <w:trHeight w:val="196"/>
        </w:trPr>
        <w:tc>
          <w:tcPr>
            <w:tcW w:w="200" w:type="dxa"/>
            <w:vAlign w:val="bottom"/>
            <w:shd w:val="clear" w:color="auto" w:fill="CCEEFF"/>
          </w:tcPr>
          <w:p>
            <w:pPr>
              <w:spacing w:after="0"/>
              <w:rPr>
                <w:sz w:val="17"/>
                <w:szCs w:val="17"/>
                <w:color w:val="auto"/>
              </w:rPr>
            </w:pPr>
          </w:p>
        </w:tc>
        <w:tc>
          <w:tcPr>
            <w:tcW w:w="38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Operating Activities:</w:t>
            </w:r>
          </w:p>
        </w:tc>
        <w:tc>
          <w:tcPr>
            <w:tcW w:w="48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0" w:type="dxa"/>
            <w:vAlign w:val="bottom"/>
            <w:tcBorders>
              <w:top w:val="single" w:sz="8" w:color="CCEEFF"/>
            </w:tcBorders>
          </w:tcPr>
          <w:p>
            <w:pPr>
              <w:spacing w:after="0"/>
              <w:rPr>
                <w:sz w:val="18"/>
                <w:szCs w:val="18"/>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w:t>
            </w:r>
          </w:p>
        </w:tc>
        <w:tc>
          <w:tcPr>
            <w:tcW w:w="1000" w:type="dxa"/>
            <w:vAlign w:val="bottom"/>
            <w:tcBorders>
              <w:top w:val="single" w:sz="8" w:color="CCEEFF"/>
            </w:tcBorders>
            <w:gridSpan w:val="2"/>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gridSpan w:val="4"/>
          </w:tcPr>
          <w:p>
            <w:pPr>
              <w:jc w:val="right"/>
              <w:ind w:right="160"/>
              <w:spacing w:after="0"/>
              <w:rPr>
                <w:sz w:val="20"/>
                <w:szCs w:val="20"/>
                <w:color w:val="auto"/>
              </w:rPr>
            </w:pPr>
            <w:r>
              <w:rPr>
                <w:rFonts w:ascii="Arial" w:cs="Arial" w:eastAsia="Arial" w:hAnsi="Arial"/>
                <w:sz w:val="18"/>
                <w:szCs w:val="18"/>
                <w:b w:val="1"/>
                <w:bCs w:val="1"/>
                <w:color w:val="auto"/>
              </w:rPr>
              <w:t>(4,110)</w:t>
            </w: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b w:val="1"/>
                <w:bCs w:val="1"/>
                <w:color w:val="auto"/>
              </w:rPr>
              <w:t>(4,551)</w:t>
            </w:r>
          </w:p>
        </w:tc>
      </w:tr>
      <w:tr>
        <w:trPr>
          <w:trHeight w:val="216"/>
        </w:trPr>
        <w:tc>
          <w:tcPr>
            <w:tcW w:w="2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rPr>
              <w:t>Adjustments to reconcile net loss to net cash used in continuing operating activities: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38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Adjustments to profit and loss items:</w:t>
            </w:r>
          </w:p>
        </w:tc>
        <w:tc>
          <w:tcPr>
            <w:tcW w:w="4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00" w:type="dxa"/>
            <w:vAlign w:val="bottom"/>
            <w:gridSpan w:val="3"/>
          </w:tcPr>
          <w:p>
            <w:pPr>
              <w:ind w:left="200"/>
              <w:spacing w:after="0"/>
              <w:rPr>
                <w:sz w:val="20"/>
                <w:szCs w:val="20"/>
                <w:color w:val="auto"/>
              </w:rPr>
            </w:pPr>
            <w:r>
              <w:rPr>
                <w:rFonts w:ascii="Arial" w:cs="Arial" w:eastAsia="Arial" w:hAnsi="Arial"/>
                <w:sz w:val="18"/>
                <w:szCs w:val="18"/>
                <w:color w:val="auto"/>
              </w:rPr>
              <w:t>Profit from discontinued operation</w:t>
            </w:r>
          </w:p>
        </w:tc>
        <w:tc>
          <w:tcPr>
            <w:tcW w:w="482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200" w:type="dxa"/>
            <w:vAlign w:val="bottom"/>
            <w:shd w:val="clear" w:color="auto" w:fill="CCEEFF"/>
          </w:tcPr>
          <w:p>
            <w:pPr>
              <w:spacing w:after="0"/>
              <w:rPr>
                <w:sz w:val="23"/>
                <w:szCs w:val="23"/>
                <w:color w:val="auto"/>
              </w:rPr>
            </w:pPr>
          </w:p>
        </w:tc>
        <w:tc>
          <w:tcPr>
            <w:tcW w:w="38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82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200" w:type="dxa"/>
            <w:vAlign w:val="bottom"/>
          </w:tcPr>
          <w:p>
            <w:pPr>
              <w:spacing w:after="0"/>
              <w:rPr>
                <w:sz w:val="18"/>
                <w:szCs w:val="18"/>
                <w:color w:val="auto"/>
              </w:rPr>
            </w:pPr>
          </w:p>
        </w:tc>
        <w:tc>
          <w:tcPr>
            <w:tcW w:w="3800" w:type="dxa"/>
            <w:vAlign w:val="bottom"/>
            <w:gridSpan w:val="3"/>
          </w:tcPr>
          <w:p>
            <w:pPr>
              <w:ind w:left="200"/>
              <w:spacing w:after="0"/>
              <w:rPr>
                <w:sz w:val="20"/>
                <w:szCs w:val="20"/>
                <w:color w:val="auto"/>
              </w:rPr>
            </w:pPr>
            <w:r>
              <w:rPr>
                <w:rFonts w:ascii="Arial" w:cs="Arial" w:eastAsia="Arial" w:hAnsi="Arial"/>
                <w:sz w:val="18"/>
                <w:szCs w:val="18"/>
                <w:color w:val="auto"/>
              </w:rPr>
              <w:t>Share-based compensation</w:t>
            </w:r>
          </w:p>
        </w:tc>
        <w:tc>
          <w:tcPr>
            <w:tcW w:w="48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200" w:type="dxa"/>
            <w:vAlign w:val="bottom"/>
            <w:shd w:val="clear" w:color="auto" w:fill="CCEEFF"/>
          </w:tcPr>
          <w:p>
            <w:pPr>
              <w:spacing w:after="0"/>
              <w:rPr>
                <w:sz w:val="18"/>
                <w:szCs w:val="18"/>
                <w:color w:val="auto"/>
              </w:rPr>
            </w:pPr>
          </w:p>
        </w:tc>
        <w:tc>
          <w:tcPr>
            <w:tcW w:w="38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5"/>
              </w:rPr>
              <w:t>Revaluation of liabilities in respect of IIA grants</w:t>
            </w:r>
          </w:p>
        </w:tc>
        <w:tc>
          <w:tcPr>
            <w:tcW w:w="4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r>
      <w:tr>
        <w:trPr>
          <w:trHeight w:val="216"/>
        </w:trPr>
        <w:tc>
          <w:tcPr>
            <w:tcW w:w="200" w:type="dxa"/>
            <w:vAlign w:val="bottom"/>
          </w:tcPr>
          <w:p>
            <w:pPr>
              <w:spacing w:after="0"/>
              <w:rPr>
                <w:sz w:val="18"/>
                <w:szCs w:val="18"/>
                <w:color w:val="auto"/>
              </w:rPr>
            </w:pPr>
          </w:p>
        </w:tc>
        <w:tc>
          <w:tcPr>
            <w:tcW w:w="3800" w:type="dxa"/>
            <w:vAlign w:val="bottom"/>
            <w:gridSpan w:val="3"/>
          </w:tcPr>
          <w:p>
            <w:pPr>
              <w:ind w:left="200"/>
              <w:spacing w:after="0"/>
              <w:rPr>
                <w:sz w:val="20"/>
                <w:szCs w:val="20"/>
                <w:color w:val="auto"/>
              </w:rPr>
            </w:pPr>
            <w:r>
              <w:rPr>
                <w:rFonts w:ascii="Arial" w:cs="Arial" w:eastAsia="Arial" w:hAnsi="Arial"/>
                <w:sz w:val="18"/>
                <w:szCs w:val="18"/>
                <w:color w:val="auto"/>
              </w:rPr>
              <w:t>Revaluation of contingent consideration for</w:t>
            </w:r>
          </w:p>
        </w:tc>
        <w:tc>
          <w:tcPr>
            <w:tcW w:w="4820" w:type="dxa"/>
            <w:vAlign w:val="bottom"/>
          </w:tcPr>
          <w:p>
            <w:pPr>
              <w:spacing w:after="0"/>
              <w:rPr>
                <w:sz w:val="20"/>
                <w:szCs w:val="20"/>
                <w:color w:val="auto"/>
              </w:rPr>
            </w:pPr>
            <w:r>
              <w:rPr>
                <w:rFonts w:ascii="Arial" w:cs="Arial" w:eastAsia="Arial" w:hAnsi="Arial"/>
                <w:sz w:val="18"/>
                <w:szCs w:val="18"/>
                <w:color w:val="auto"/>
              </w:rPr>
              <w:t>the purchase of shares</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r>
      <w:tr>
        <w:trPr>
          <w:trHeight w:val="216"/>
        </w:trPr>
        <w:tc>
          <w:tcPr>
            <w:tcW w:w="200" w:type="dxa"/>
            <w:vAlign w:val="bottom"/>
            <w:shd w:val="clear" w:color="auto" w:fill="CCEEFF"/>
          </w:tcPr>
          <w:p>
            <w:pPr>
              <w:spacing w:after="0"/>
              <w:rPr>
                <w:sz w:val="18"/>
                <w:szCs w:val="18"/>
                <w:color w:val="auto"/>
              </w:rPr>
            </w:pPr>
          </w:p>
        </w:tc>
        <w:tc>
          <w:tcPr>
            <w:tcW w:w="38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Revaluation of lease liabilities</w:t>
            </w:r>
          </w:p>
        </w:tc>
        <w:tc>
          <w:tcPr>
            <w:tcW w:w="48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0" w:type="dxa"/>
            <w:vAlign w:val="bottom"/>
          </w:tcPr>
          <w:p>
            <w:pPr>
              <w:spacing w:after="0"/>
              <w:rPr>
                <w:sz w:val="18"/>
                <w:szCs w:val="18"/>
                <w:color w:val="auto"/>
              </w:rPr>
            </w:pPr>
          </w:p>
        </w:tc>
        <w:tc>
          <w:tcPr>
            <w:tcW w:w="3800" w:type="dxa"/>
            <w:vAlign w:val="bottom"/>
            <w:gridSpan w:val="3"/>
          </w:tcPr>
          <w:p>
            <w:pPr>
              <w:ind w:left="200"/>
              <w:spacing w:after="0"/>
              <w:rPr>
                <w:sz w:val="20"/>
                <w:szCs w:val="20"/>
                <w:color w:val="auto"/>
              </w:rPr>
            </w:pPr>
            <w:r>
              <w:rPr>
                <w:rFonts w:ascii="Arial" w:cs="Arial" w:eastAsia="Arial" w:hAnsi="Arial"/>
                <w:sz w:val="18"/>
                <w:szCs w:val="18"/>
                <w:color w:val="auto"/>
                <w:w w:val="99"/>
              </w:rPr>
              <w:t>Increase (decrease) in severance liability, net</w:t>
            </w:r>
          </w:p>
        </w:tc>
        <w:tc>
          <w:tcPr>
            <w:tcW w:w="482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0" w:type="dxa"/>
            <w:vAlign w:val="bottom"/>
            <w:shd w:val="clear" w:color="auto" w:fill="CCEEFF"/>
          </w:tcPr>
          <w:p>
            <w:pPr>
              <w:spacing w:after="0"/>
              <w:rPr>
                <w:sz w:val="18"/>
                <w:szCs w:val="18"/>
                <w:color w:val="auto"/>
              </w:rPr>
            </w:pPr>
          </w:p>
        </w:tc>
        <w:tc>
          <w:tcPr>
            <w:tcW w:w="38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Financing income</w:t>
            </w:r>
          </w:p>
        </w:tc>
        <w:tc>
          <w:tcPr>
            <w:tcW w:w="48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23"/>
        </w:trPr>
        <w:tc>
          <w:tcPr>
            <w:tcW w:w="200" w:type="dxa"/>
            <w:vAlign w:val="bottom"/>
          </w:tcPr>
          <w:p>
            <w:pPr>
              <w:spacing w:after="0"/>
              <w:rPr>
                <w:sz w:val="19"/>
                <w:szCs w:val="19"/>
                <w:color w:val="auto"/>
              </w:rPr>
            </w:pPr>
          </w:p>
        </w:tc>
        <w:tc>
          <w:tcPr>
            <w:tcW w:w="3800" w:type="dxa"/>
            <w:vAlign w:val="bottom"/>
            <w:gridSpan w:val="3"/>
          </w:tcPr>
          <w:p>
            <w:pPr>
              <w:ind w:left="200"/>
              <w:spacing w:after="0"/>
              <w:rPr>
                <w:sz w:val="20"/>
                <w:szCs w:val="20"/>
                <w:color w:val="auto"/>
              </w:rPr>
            </w:pPr>
            <w:r>
              <w:rPr>
                <w:rFonts w:ascii="Arial" w:cs="Arial" w:eastAsia="Arial" w:hAnsi="Arial"/>
                <w:sz w:val="18"/>
                <w:szCs w:val="18"/>
                <w:color w:val="auto"/>
              </w:rPr>
              <w:t>Unrealized foreign currency (gain) loss</w:t>
            </w:r>
          </w:p>
        </w:tc>
        <w:tc>
          <w:tcPr>
            <w:tcW w:w="4820" w:type="dxa"/>
            <w:vAlign w:val="bottom"/>
          </w:tcPr>
          <w:p>
            <w:pPr>
              <w:spacing w:after="0"/>
              <w:rPr>
                <w:sz w:val="19"/>
                <w:szCs w:val="19"/>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2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8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702</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1,067</w:t>
            </w:r>
          </w:p>
        </w:tc>
        <w:tc>
          <w:tcPr>
            <w:tcW w:w="10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800" w:type="dxa"/>
            <w:vAlign w:val="bottom"/>
            <w:gridSpan w:val="3"/>
          </w:tcPr>
          <w:p>
            <w:pPr>
              <w:ind w:left="200"/>
              <w:spacing w:after="0"/>
              <w:rPr>
                <w:sz w:val="20"/>
                <w:szCs w:val="20"/>
                <w:color w:val="auto"/>
              </w:rPr>
            </w:pPr>
            <w:r>
              <w:rPr>
                <w:rFonts w:ascii="Arial" w:cs="Arial" w:eastAsia="Arial" w:hAnsi="Arial"/>
                <w:sz w:val="18"/>
                <w:szCs w:val="18"/>
                <w:color w:val="auto"/>
              </w:rPr>
              <w:t>Changes in asset and liability items:</w:t>
            </w:r>
          </w:p>
        </w:tc>
        <w:tc>
          <w:tcPr>
            <w:tcW w:w="4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38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Decrease in trade receivables</w:t>
            </w:r>
          </w:p>
        </w:tc>
        <w:tc>
          <w:tcPr>
            <w:tcW w:w="48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200" w:type="dxa"/>
            <w:vAlign w:val="bottom"/>
          </w:tcPr>
          <w:p>
            <w:pPr>
              <w:spacing w:after="0"/>
              <w:rPr>
                <w:sz w:val="18"/>
                <w:szCs w:val="18"/>
                <w:color w:val="auto"/>
              </w:rPr>
            </w:pPr>
          </w:p>
        </w:tc>
        <w:tc>
          <w:tcPr>
            <w:tcW w:w="3800" w:type="dxa"/>
            <w:vAlign w:val="bottom"/>
            <w:gridSpan w:val="3"/>
          </w:tcPr>
          <w:p>
            <w:pPr>
              <w:ind w:left="400"/>
              <w:spacing w:after="0"/>
              <w:rPr>
                <w:sz w:val="20"/>
                <w:szCs w:val="20"/>
                <w:color w:val="auto"/>
              </w:rPr>
            </w:pPr>
            <w:r>
              <w:rPr>
                <w:rFonts w:ascii="Arial" w:cs="Arial" w:eastAsia="Arial" w:hAnsi="Arial"/>
                <w:sz w:val="18"/>
                <w:szCs w:val="18"/>
                <w:color w:val="auto"/>
              </w:rPr>
              <w:t>Decrease (increase) in inventories</w:t>
            </w:r>
          </w:p>
        </w:tc>
        <w:tc>
          <w:tcPr>
            <w:tcW w:w="48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r>
      <w:tr>
        <w:trPr>
          <w:trHeight w:val="216"/>
        </w:trPr>
        <w:tc>
          <w:tcPr>
            <w:tcW w:w="200" w:type="dxa"/>
            <w:vAlign w:val="bottom"/>
            <w:shd w:val="clear" w:color="auto" w:fill="CCEEFF"/>
          </w:tcPr>
          <w:p>
            <w:pPr>
              <w:spacing w:after="0"/>
              <w:rPr>
                <w:sz w:val="18"/>
                <w:szCs w:val="18"/>
                <w:color w:val="auto"/>
              </w:rPr>
            </w:pPr>
          </w:p>
        </w:tc>
        <w:tc>
          <w:tcPr>
            <w:tcW w:w="38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Decrease in other receivables</w:t>
            </w:r>
          </w:p>
        </w:tc>
        <w:tc>
          <w:tcPr>
            <w:tcW w:w="48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200" w:type="dxa"/>
            <w:vAlign w:val="bottom"/>
          </w:tcPr>
          <w:p>
            <w:pPr>
              <w:spacing w:after="0"/>
              <w:rPr>
                <w:sz w:val="18"/>
                <w:szCs w:val="18"/>
                <w:color w:val="auto"/>
              </w:rPr>
            </w:pPr>
          </w:p>
        </w:tc>
        <w:tc>
          <w:tcPr>
            <w:tcW w:w="3800" w:type="dxa"/>
            <w:vAlign w:val="bottom"/>
            <w:gridSpan w:val="3"/>
          </w:tcPr>
          <w:p>
            <w:pPr>
              <w:ind w:left="400"/>
              <w:spacing w:after="0"/>
              <w:rPr>
                <w:sz w:val="20"/>
                <w:szCs w:val="20"/>
                <w:color w:val="auto"/>
              </w:rPr>
            </w:pPr>
            <w:r>
              <w:rPr>
                <w:rFonts w:ascii="Arial" w:cs="Arial" w:eastAsia="Arial" w:hAnsi="Arial"/>
                <w:sz w:val="18"/>
                <w:szCs w:val="18"/>
                <w:color w:val="auto"/>
                <w:w w:val="89"/>
              </w:rPr>
              <w:t>Increase in trade payables &amp; accrued expenses</w:t>
            </w:r>
          </w:p>
        </w:tc>
        <w:tc>
          <w:tcPr>
            <w:tcW w:w="48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23"/>
        </w:trPr>
        <w:tc>
          <w:tcPr>
            <w:tcW w:w="20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w w:val="89"/>
              </w:rPr>
              <w:t>Increase in other payables &amp; deferred revenues</w:t>
            </w:r>
          </w:p>
        </w:tc>
        <w:tc>
          <w:tcPr>
            <w:tcW w:w="48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1,512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353</w:t>
            </w:r>
          </w:p>
        </w:tc>
      </w:tr>
      <w:tr>
        <w:trPr>
          <w:trHeight w:val="223"/>
        </w:trPr>
        <w:tc>
          <w:tcPr>
            <w:tcW w:w="20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2"/>
              </w:rPr>
              <w:t>Net cash used in continuing operating activities</w:t>
            </w:r>
          </w:p>
        </w:tc>
        <w:tc>
          <w:tcPr>
            <w:tcW w:w="48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(1,896)</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8620" w:type="dxa"/>
            <w:vAlign w:val="bottom"/>
            <w:gridSpan w:val="4"/>
          </w:tcPr>
          <w:p>
            <w:pPr>
              <w:spacing w:after="0"/>
              <w:rPr>
                <w:sz w:val="20"/>
                <w:szCs w:val="20"/>
                <w:color w:val="auto"/>
              </w:rPr>
            </w:pPr>
            <w:r>
              <w:rPr>
                <w:rFonts w:ascii="Arial" w:cs="Arial" w:eastAsia="Arial" w:hAnsi="Arial"/>
                <w:sz w:val="18"/>
                <w:szCs w:val="18"/>
                <w:b w:val="1"/>
                <w:bCs w:val="1"/>
                <w:color w:val="auto"/>
              </w:rPr>
              <w:t>Net cash provided by discontinued operating activities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57"/>
        </w:trPr>
        <w:tc>
          <w:tcPr>
            <w:tcW w:w="200" w:type="dxa"/>
            <w:vAlign w:val="bottom"/>
            <w:shd w:val="clear" w:color="auto" w:fill="CCEEFF"/>
          </w:tcPr>
          <w:p>
            <w:pPr>
              <w:spacing w:after="0"/>
              <w:rPr>
                <w:sz w:val="22"/>
                <w:szCs w:val="22"/>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4820" w:type="dxa"/>
            <w:vAlign w:val="bottom"/>
            <w:shd w:val="clear" w:color="auto" w:fill="CCEEFF"/>
          </w:tcPr>
          <w:p>
            <w:pPr>
              <w:spacing w:after="0"/>
              <w:rPr>
                <w:sz w:val="22"/>
                <w:szCs w:val="22"/>
                <w:color w:val="auto"/>
              </w:rPr>
            </w:pP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(1,846)</w:t>
            </w:r>
          </w:p>
        </w:tc>
        <w:tc>
          <w:tcPr>
            <w:tcW w:w="200" w:type="dxa"/>
            <w:vAlign w:val="bottom"/>
            <w:gridSpan w:val="2"/>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(3,131)</w:t>
            </w:r>
          </w:p>
        </w:tc>
        <w:tc>
          <w:tcPr>
            <w:tcW w:w="100" w:type="dxa"/>
            <w:vAlign w:val="bottom"/>
            <w:shd w:val="clear" w:color="auto" w:fill="CCEEFF"/>
          </w:tcPr>
          <w:p>
            <w:pPr>
              <w:spacing w:after="0"/>
              <w:rPr>
                <w:sz w:val="22"/>
                <w:szCs w:val="22"/>
                <w:color w:val="auto"/>
              </w:rPr>
            </w:pPr>
          </w:p>
        </w:tc>
      </w:tr>
      <w:tr>
        <w:trPr>
          <w:trHeight w:val="210"/>
        </w:trPr>
        <w:tc>
          <w:tcPr>
            <w:tcW w:w="20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1"/>
        </w:trPr>
        <w:tc>
          <w:tcPr>
            <w:tcW w:w="20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1"/>
                <w:shd w:val="clear" w:color="auto" w:fill="CCEEFF"/>
              </w:rPr>
              <w:t>Cash Flows from Investment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48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0" w:type="dxa"/>
            <w:vAlign w:val="bottom"/>
            <w:tcBorders>
              <w:top w:val="single" w:sz="8" w:color="CCEEFF"/>
            </w:tcBorders>
          </w:tcPr>
          <w:p>
            <w:pPr>
              <w:spacing w:after="0"/>
              <w:rPr>
                <w:sz w:val="18"/>
                <w:szCs w:val="18"/>
                <w:color w:val="auto"/>
              </w:rPr>
            </w:pPr>
          </w:p>
        </w:tc>
        <w:tc>
          <w:tcPr>
            <w:tcW w:w="380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Purchase of property and equipment</w:t>
            </w:r>
          </w:p>
        </w:tc>
        <w:tc>
          <w:tcPr>
            <w:tcW w:w="48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gridSpan w:val="4"/>
          </w:tcPr>
          <w:p>
            <w:pPr>
              <w:jc w:val="right"/>
              <w:ind w:right="160"/>
              <w:spacing w:after="0"/>
              <w:rPr>
                <w:sz w:val="20"/>
                <w:szCs w:val="20"/>
                <w:color w:val="auto"/>
              </w:rPr>
            </w:pPr>
            <w:r>
              <w:rPr>
                <w:rFonts w:ascii="Arial" w:cs="Arial" w:eastAsia="Arial" w:hAnsi="Arial"/>
                <w:sz w:val="18"/>
                <w:szCs w:val="18"/>
                <w:color w:val="auto"/>
              </w:rPr>
              <w:t>(239)</w:t>
            </w: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(116)</w:t>
            </w:r>
          </w:p>
        </w:tc>
      </w:tr>
      <w:tr>
        <w:trPr>
          <w:trHeight w:val="216"/>
        </w:trPr>
        <w:tc>
          <w:tcPr>
            <w:tcW w:w="200" w:type="dxa"/>
            <w:vAlign w:val="bottom"/>
            <w:shd w:val="clear" w:color="auto" w:fill="CCEEFF"/>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4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0" w:type="dxa"/>
            <w:vAlign w:val="bottom"/>
          </w:tcPr>
          <w:p>
            <w:pPr>
              <w:spacing w:after="0"/>
              <w:rPr>
                <w:sz w:val="19"/>
                <w:szCs w:val="19"/>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rPr>
              <w:t>Proceeds from (investment in) short term bank deposits, net of investments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2,565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(22,845)</w:t>
            </w:r>
          </w:p>
        </w:tc>
      </w:tr>
      <w:tr>
        <w:trPr>
          <w:trHeight w:val="257"/>
        </w:trPr>
        <w:tc>
          <w:tcPr>
            <w:tcW w:w="200" w:type="dxa"/>
            <w:vAlign w:val="bottom"/>
            <w:shd w:val="clear" w:color="auto" w:fill="CCEEFF"/>
          </w:tcPr>
          <w:p>
            <w:pPr>
              <w:spacing w:after="0"/>
              <w:rPr>
                <w:sz w:val="22"/>
                <w:szCs w:val="22"/>
                <w:color w:val="auto"/>
              </w:rPr>
            </w:pPr>
          </w:p>
        </w:tc>
        <w:tc>
          <w:tcPr>
            <w:tcW w:w="86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2,356</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(22,961)</w:t>
            </w:r>
          </w:p>
        </w:tc>
        <w:tc>
          <w:tcPr>
            <w:tcW w:w="100" w:type="dxa"/>
            <w:vAlign w:val="bottom"/>
            <w:shd w:val="clear" w:color="auto" w:fill="CCEEFF"/>
          </w:tcPr>
          <w:p>
            <w:pPr>
              <w:spacing w:after="0"/>
              <w:rPr>
                <w:sz w:val="22"/>
                <w:szCs w:val="22"/>
                <w:color w:val="auto"/>
              </w:rPr>
            </w:pPr>
          </w:p>
        </w:tc>
      </w:tr>
      <w:tr>
        <w:trPr>
          <w:trHeight w:val="169"/>
        </w:trPr>
        <w:tc>
          <w:tcPr>
            <w:tcW w:w="200" w:type="dxa"/>
            <w:vAlign w:val="bottom"/>
            <w:tcBorders>
              <w:top w:val="single" w:sz="8" w:color="CCEEFF"/>
            </w:tcBorders>
          </w:tcPr>
          <w:p>
            <w:pPr>
              <w:spacing w:after="0"/>
              <w:rPr>
                <w:sz w:val="14"/>
                <w:szCs w:val="14"/>
                <w:color w:val="auto"/>
              </w:rPr>
            </w:pPr>
          </w:p>
        </w:tc>
        <w:tc>
          <w:tcPr>
            <w:tcW w:w="3800" w:type="dxa"/>
            <w:vAlign w:val="bottom"/>
            <w:tcBorders>
              <w:top w:val="single" w:sz="8" w:color="CCEEFF"/>
            </w:tcBorders>
            <w:gridSpan w:val="3"/>
          </w:tcPr>
          <w:p>
            <w:pPr>
              <w:spacing w:after="0" w:line="170" w:lineRule="exact"/>
              <w:rPr>
                <w:sz w:val="20"/>
                <w:szCs w:val="20"/>
                <w:color w:val="auto"/>
              </w:rPr>
            </w:pPr>
            <w:r>
              <w:rPr>
                <w:rFonts w:ascii="Arial" w:cs="Arial" w:eastAsia="Arial" w:hAnsi="Arial"/>
                <w:sz w:val="18"/>
                <w:szCs w:val="18"/>
                <w:color w:val="auto"/>
              </w:rPr>
              <w:t>Cash Flows from Financing Activities:</w:t>
            </w:r>
          </w:p>
        </w:tc>
        <w:tc>
          <w:tcPr>
            <w:tcW w:w="48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
        </w:trPr>
        <w:tc>
          <w:tcPr>
            <w:tcW w:w="200" w:type="dxa"/>
            <w:vAlign w:val="bottom"/>
          </w:tcPr>
          <w:p>
            <w:pPr>
              <w:spacing w:after="0" w:line="20" w:lineRule="exact"/>
              <w:rPr>
                <w:sz w:val="1"/>
                <w:szCs w:val="1"/>
                <w:color w:val="auto"/>
              </w:rPr>
            </w:pPr>
          </w:p>
        </w:tc>
        <w:tc>
          <w:tcPr>
            <w:tcW w:w="28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Repayment of lease liabilities</w:t>
            </w:r>
          </w:p>
        </w:tc>
        <w:tc>
          <w:tcPr>
            <w:tcW w:w="48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0" w:type="dxa"/>
            <w:vAlign w:val="bottom"/>
          </w:tcPr>
          <w:p>
            <w:pPr>
              <w:spacing w:after="0"/>
              <w:rPr>
                <w:sz w:val="19"/>
                <w:szCs w:val="19"/>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rPr>
              <w:t>Net proceeds from IIA grants (repayment of IIA grants, net)</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57"/>
        </w:trPr>
        <w:tc>
          <w:tcPr>
            <w:tcW w:w="20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48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220" w:type="dxa"/>
            <w:vAlign w:val="bottom"/>
            <w:tcBorders>
              <w:bottom w:val="single" w:sz="8" w:color="CCEEFF"/>
            </w:tcBorders>
            <w:gridSpan w:val="3"/>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0" w:type="dxa"/>
            <w:vAlign w:val="bottom"/>
          </w:tcPr>
          <w:p>
            <w:pPr>
              <w:spacing w:after="0"/>
              <w:rPr>
                <w:sz w:val="18"/>
                <w:szCs w:val="18"/>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rPr>
              <w:t>Exchange rate differences on cash and cash equivalent balances</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200" w:type="dxa"/>
            <w:vAlign w:val="bottom"/>
            <w:shd w:val="clear" w:color="auto" w:fill="CCEEFF"/>
          </w:tcPr>
          <w:p>
            <w:pPr>
              <w:spacing w:after="0"/>
              <w:rPr>
                <w:sz w:val="18"/>
                <w:szCs w:val="18"/>
                <w:color w:val="auto"/>
              </w:rPr>
            </w:pPr>
          </w:p>
        </w:tc>
        <w:tc>
          <w:tcPr>
            <w:tcW w:w="8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 from continuing activities</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(26,078)</w:t>
            </w:r>
          </w:p>
        </w:tc>
      </w:tr>
      <w:tr>
        <w:trPr>
          <w:trHeight w:val="216"/>
        </w:trPr>
        <w:tc>
          <w:tcPr>
            <w:tcW w:w="200" w:type="dxa"/>
            <w:vAlign w:val="bottom"/>
          </w:tcPr>
          <w:p>
            <w:pPr>
              <w:spacing w:after="0"/>
              <w:rPr>
                <w:sz w:val="18"/>
                <w:szCs w:val="18"/>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rPr>
              <w:t>Increase in cash and cash equivalents from discontinued activities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0" w:type="dxa"/>
            <w:vAlign w:val="bottom"/>
            <w:tcBorders>
              <w:bottom w:val="single" w:sz="8" w:color="CCEEFF"/>
            </w:tcBorders>
            <w:shd w:val="clear" w:color="auto" w:fill="CCEEFF"/>
          </w:tcPr>
          <w:p>
            <w:pPr>
              <w:spacing w:after="0"/>
              <w:rPr>
                <w:sz w:val="19"/>
                <w:szCs w:val="19"/>
                <w:color w:val="auto"/>
              </w:rPr>
            </w:pPr>
          </w:p>
        </w:tc>
        <w:tc>
          <w:tcPr>
            <w:tcW w:w="86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Balance of cash and cash equivalents at the beginning of the period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8620" w:type="dxa"/>
            <w:vAlign w:val="bottom"/>
            <w:gridSpan w:val="4"/>
          </w:tcPr>
          <w:p>
            <w:pPr>
              <w:spacing w:after="0"/>
              <w:rPr>
                <w:sz w:val="20"/>
                <w:szCs w:val="20"/>
                <w:color w:val="auto"/>
              </w:rPr>
            </w:pPr>
            <w:r>
              <w:rPr>
                <w:rFonts w:ascii="Arial" w:cs="Arial" w:eastAsia="Arial" w:hAnsi="Arial"/>
                <w:sz w:val="18"/>
                <w:szCs w:val="18"/>
                <w:b w:val="1"/>
                <w:bCs w:val="1"/>
                <w:color w:val="auto"/>
              </w:rPr>
              <w:t>Balance of cash and cash equivalents at the end of the period</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9,991</w:t>
            </w:r>
          </w:p>
        </w:tc>
      </w:tr>
      <w:tr>
        <w:trPr>
          <w:trHeight w:val="21"/>
        </w:trPr>
        <w:tc>
          <w:tcPr>
            <w:tcW w:w="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99.2</w:t>
            </w:r>
          </w:p>
        </w:tc>
      </w:tr>
      <w:tr>
        <w:trPr>
          <w:trHeight w:val="669"/>
        </w:trPr>
        <w:tc>
          <w:tcPr>
            <w:tcW w:w="3740" w:type="dxa"/>
            <w:vAlign w:val="bottom"/>
          </w:tcPr>
          <w:p>
            <w:pPr>
              <w:spacing w:after="0"/>
              <w:rPr>
                <w:sz w:val="24"/>
                <w:szCs w:val="24"/>
                <w:color w:val="auto"/>
              </w:rPr>
            </w:pPr>
          </w:p>
        </w:tc>
        <w:tc>
          <w:tcPr>
            <w:tcW w:w="612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rPr>
              <w:t>MEDIWOUND LTD. AND ITS SUBSIDIARIES</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6"/>
        </w:trPr>
        <w:tc>
          <w:tcPr>
            <w:tcW w:w="9860" w:type="dxa"/>
            <w:vAlign w:val="bottom"/>
            <w:gridSpan w:val="6"/>
          </w:tcPr>
          <w:p>
            <w:pPr>
              <w:jc w:val="center"/>
              <w:ind w:left="1470"/>
              <w:spacing w:after="0"/>
              <w:rPr>
                <w:sz w:val="20"/>
                <w:szCs w:val="20"/>
                <w:color w:val="auto"/>
              </w:rPr>
            </w:pPr>
            <w:r>
              <w:rPr>
                <w:rFonts w:ascii="Arial" w:cs="Arial" w:eastAsia="Arial" w:hAnsi="Arial"/>
                <w:sz w:val="18"/>
                <w:szCs w:val="18"/>
                <w:b w:val="1"/>
                <w:bCs w:val="1"/>
                <w:color w:val="auto"/>
              </w:rPr>
              <w:t>INTERIM CONDENSED CONSOLIDATED FINANCIAL STATEMENTS</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3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300" w:type="dxa"/>
            <w:vAlign w:val="bottom"/>
            <w:gridSpan w:val="4"/>
          </w:tcPr>
          <w:p>
            <w:pPr>
              <w:jc w:val="center"/>
              <w:ind w:right="3000"/>
              <w:spacing w:after="0"/>
              <w:rPr>
                <w:sz w:val="20"/>
                <w:szCs w:val="20"/>
                <w:color w:val="auto"/>
              </w:rPr>
            </w:pPr>
            <w:r>
              <w:rPr>
                <w:rFonts w:ascii="Arial" w:cs="Arial" w:eastAsia="Arial" w:hAnsi="Arial"/>
                <w:sz w:val="18"/>
                <w:szCs w:val="18"/>
                <w:b w:val="1"/>
                <w:bCs w:val="1"/>
                <w:color w:val="auto"/>
                <w:w w:val="95"/>
              </w:rPr>
              <w:t>AS OF MARCH 31, 2019</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4"/>
        </w:trPr>
        <w:tc>
          <w:tcPr>
            <w:tcW w:w="3740" w:type="dxa"/>
            <w:vAlign w:val="bottom"/>
          </w:tcPr>
          <w:p>
            <w:pPr>
              <w:spacing w:after="0"/>
              <w:rPr>
                <w:sz w:val="24"/>
                <w:szCs w:val="24"/>
                <w:color w:val="auto"/>
              </w:rPr>
            </w:pPr>
          </w:p>
        </w:tc>
        <w:tc>
          <w:tcPr>
            <w:tcW w:w="612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99"/>
              </w:rPr>
              <w:t>IN U.S. DOLLARS IN THOUSANDS</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3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00" w:type="dxa"/>
            <w:vAlign w:val="bottom"/>
            <w:gridSpan w:val="2"/>
          </w:tcPr>
          <w:p>
            <w:pPr>
              <w:jc w:val="center"/>
              <w:ind w:right="3400"/>
              <w:spacing w:after="0"/>
              <w:rPr>
                <w:sz w:val="20"/>
                <w:szCs w:val="20"/>
                <w:color w:val="auto"/>
              </w:rPr>
            </w:pPr>
            <w:r>
              <w:rPr>
                <w:rFonts w:ascii="Arial" w:cs="Arial" w:eastAsia="Arial" w:hAnsi="Arial"/>
                <w:sz w:val="18"/>
                <w:szCs w:val="18"/>
                <w:b w:val="1"/>
                <w:bCs w:val="1"/>
                <w:color w:val="auto"/>
              </w:rPr>
              <w:t>UNAUDITED</w:t>
            </w: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3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00" w:type="dxa"/>
            <w:vAlign w:val="bottom"/>
            <w:gridSpan w:val="2"/>
          </w:tcPr>
          <w:p>
            <w:pPr>
              <w:jc w:val="center"/>
              <w:ind w:right="3400"/>
              <w:spacing w:after="0"/>
              <w:rPr>
                <w:sz w:val="20"/>
                <w:szCs w:val="20"/>
                <w:color w:val="auto"/>
              </w:rPr>
            </w:pPr>
            <w:r>
              <w:rPr>
                <w:rFonts w:ascii="Arial" w:cs="Arial" w:eastAsia="Arial" w:hAnsi="Arial"/>
                <w:sz w:val="18"/>
                <w:szCs w:val="18"/>
                <w:b w:val="1"/>
                <w:bCs w:val="1"/>
                <w:color w:val="auto"/>
              </w:rPr>
              <w:t>INDEX</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3"/>
        </w:trPr>
        <w:tc>
          <w:tcPr>
            <w:tcW w:w="3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6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b w:val="1"/>
                <w:bCs w:val="1"/>
                <w:color w:val="auto"/>
              </w:rPr>
              <w:t>Page</w:t>
            </w:r>
          </w:p>
        </w:tc>
      </w:tr>
      <w:tr>
        <w:trPr>
          <w:trHeight w:val="392"/>
        </w:trPr>
        <w:tc>
          <w:tcPr>
            <w:tcW w:w="374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4">
              <w:r>
                <w:rPr>
                  <w:rFonts w:ascii="Arial" w:cs="Arial" w:eastAsia="Arial" w:hAnsi="Arial"/>
                  <w:sz w:val="18"/>
                  <w:szCs w:val="18"/>
                  <w:b w:val="1"/>
                  <w:bCs w:val="1"/>
                  <w:color w:val="0000EE"/>
                  <w:w w:val="88"/>
                </w:rPr>
                <w:t>Condensed Interim Consolidated Balance Sheets</w:t>
              </w:r>
            </w:hyperlink>
          </w:p>
        </w:tc>
        <w:tc>
          <w:tcPr>
            <w:tcW w:w="6120" w:type="dxa"/>
            <w:vAlign w:val="bottom"/>
            <w:gridSpan w:val="5"/>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2</w:t>
            </w:r>
          </w:p>
        </w:tc>
      </w:tr>
      <w:tr>
        <w:trPr>
          <w:trHeight w:val="412"/>
        </w:trPr>
        <w:tc>
          <w:tcPr>
            <w:tcW w:w="9860" w:type="dxa"/>
            <w:vAlign w:val="bottom"/>
            <w:gridSpan w:val="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Condensed Interim Consolidated Statements of Comprehensive Loss</w:t>
              </w:r>
            </w:hyperlink>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3</w:t>
            </w:r>
          </w:p>
        </w:tc>
      </w:tr>
      <w:tr>
        <w:trPr>
          <w:trHeight w:val="20"/>
        </w:trPr>
        <w:tc>
          <w:tcPr>
            <w:tcW w:w="45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r>
      <w:tr>
        <w:trPr>
          <w:trHeight w:val="412"/>
        </w:trPr>
        <w:tc>
          <w:tcPr>
            <w:tcW w:w="6220" w:type="dxa"/>
            <w:vAlign w:val="bottom"/>
            <w:tcBorders>
              <w:bottom w:val="single" w:sz="8" w:color="0000EE"/>
            </w:tcBorders>
            <w:gridSpan w:val="5"/>
          </w:tcPr>
          <w:p>
            <w:pPr>
              <w:spacing w:after="0"/>
              <w:rPr>
                <w:rFonts w:ascii="Arial" w:cs="Arial" w:eastAsia="Arial" w:hAnsi="Arial"/>
                <w:sz w:val="18"/>
                <w:szCs w:val="18"/>
                <w:b w:val="1"/>
                <w:bCs w:val="1"/>
                <w:color w:val="0000EE"/>
                <w:w w:val="89"/>
              </w:rPr>
            </w:pPr>
            <w:hyperlink w:anchor="page16">
              <w:r>
                <w:rPr>
                  <w:rFonts w:ascii="Arial" w:cs="Arial" w:eastAsia="Arial" w:hAnsi="Arial"/>
                  <w:sz w:val="18"/>
                  <w:szCs w:val="18"/>
                  <w:b w:val="1"/>
                  <w:bCs w:val="1"/>
                  <w:color w:val="0000EE"/>
                  <w:w w:val="89"/>
                </w:rPr>
                <w:t>Condensed Interim Consolidated Statements of Changes in Shareholders' Equity</w:t>
              </w:r>
            </w:hyperlink>
          </w:p>
        </w:tc>
        <w:tc>
          <w:tcPr>
            <w:tcW w:w="364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4 - 5</w:t>
            </w:r>
          </w:p>
        </w:tc>
      </w:tr>
      <w:tr>
        <w:trPr>
          <w:trHeight w:val="439"/>
        </w:trPr>
        <w:tc>
          <w:tcPr>
            <w:tcW w:w="9860" w:type="dxa"/>
            <w:vAlign w:val="bottom"/>
            <w:gridSpan w:val="6"/>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Condensed Interim Consolidated Statements of Cash Flows</w:t>
              </w:r>
            </w:hyperlink>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6 – 7</w:t>
            </w:r>
          </w:p>
        </w:tc>
      </w:tr>
      <w:tr>
        <w:trPr>
          <w:trHeight w:val="20"/>
        </w:trPr>
        <w:tc>
          <w:tcPr>
            <w:tcW w:w="45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r>
      <w:tr>
        <w:trPr>
          <w:trHeight w:val="412"/>
        </w:trPr>
        <w:tc>
          <w:tcPr>
            <w:tcW w:w="9860" w:type="dxa"/>
            <w:vAlign w:val="bottom"/>
            <w:gridSpan w:val="6"/>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Notes to Condensed Interim Consolidated Financial Statements</w:t>
              </w:r>
            </w:hyperlink>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8 - 12</w:t>
            </w:r>
          </w:p>
        </w:tc>
      </w:tr>
      <w:tr>
        <w:trPr>
          <w:trHeight w:val="473"/>
        </w:trPr>
        <w:tc>
          <w:tcPr>
            <w:tcW w:w="374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662"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2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5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r>
      <w:tr>
        <w:trPr>
          <w:trHeight w:val="223"/>
        </w:trPr>
        <w:tc>
          <w:tcPr>
            <w:tcW w:w="5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w w:val="74"/>
              </w:rPr>
              <w:t>Unaudited</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ASSETS:</w:t>
            </w: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Cash and cash equivalents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7,134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9,991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6,716</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Restricted deposits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Short-term bank deposits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14,211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22,912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16,828</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Trade receivables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Inventories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1,472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1,680</w:t>
            </w:r>
          </w:p>
        </w:tc>
      </w:tr>
      <w:tr>
        <w:trPr>
          <w:trHeight w:val="223"/>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receivables</w:t>
            </w:r>
          </w:p>
        </w:tc>
        <w:tc>
          <w:tcPr>
            <w:tcW w:w="17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6,840</w:t>
            </w:r>
          </w:p>
        </w:tc>
      </w:tr>
      <w:tr>
        <w:trPr>
          <w:trHeight w:val="216"/>
        </w:trPr>
        <w:tc>
          <w:tcPr>
            <w:tcW w:w="57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700" w:type="dxa"/>
            <w:vAlign w:val="bottom"/>
            <w:shd w:val="clear" w:color="auto" w:fill="CCEEFF"/>
          </w:tcPr>
          <w:p>
            <w:pPr>
              <w:spacing w:after="0"/>
              <w:rPr>
                <w:sz w:val="19"/>
                <w:szCs w:val="19"/>
                <w:color w:val="auto"/>
              </w:rPr>
            </w:pPr>
          </w:p>
        </w:tc>
        <w:tc>
          <w:tcPr>
            <w:tcW w:w="31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29,727</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32,713</w:t>
            </w:r>
          </w:p>
        </w:tc>
      </w:tr>
      <w:tr>
        <w:trPr>
          <w:trHeight w:val="216"/>
        </w:trPr>
        <w:tc>
          <w:tcPr>
            <w:tcW w:w="570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rPr>
              <w:t>LONG-TERM ASSETS:</w:t>
            </w:r>
          </w:p>
        </w:tc>
        <w:tc>
          <w:tcPr>
            <w:tcW w:w="17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Long term deposits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Property, plant and equipment, net</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2,151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Right of-use assets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tcPr>
          <w:p>
            <w:pPr>
              <w:ind w:left="60"/>
              <w:spacing w:after="0"/>
              <w:rPr>
                <w:sz w:val="20"/>
                <w:szCs w:val="20"/>
                <w:color w:val="auto"/>
              </w:rPr>
            </w:pPr>
            <w:r>
              <w:rPr>
                <w:rFonts w:ascii="Arial" w:cs="Arial" w:eastAsia="Arial" w:hAnsi="Arial"/>
                <w:sz w:val="18"/>
                <w:szCs w:val="18"/>
                <w:color w:val="auto"/>
              </w:rPr>
              <w:t>Intangible assets, net</w:t>
            </w:r>
          </w:p>
        </w:tc>
        <w:tc>
          <w:tcPr>
            <w:tcW w:w="1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r>
      <w:tr>
        <w:trPr>
          <w:trHeight w:val="216"/>
        </w:trPr>
        <w:tc>
          <w:tcPr>
            <w:tcW w:w="5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700" w:type="dxa"/>
            <w:vAlign w:val="bottom"/>
          </w:tcPr>
          <w:p>
            <w:pPr>
              <w:spacing w:after="0"/>
              <w:rPr>
                <w:sz w:val="19"/>
                <w:szCs w:val="19"/>
                <w:color w:val="auto"/>
              </w:rPr>
            </w:pP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5,065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2,563</w:t>
            </w:r>
          </w:p>
        </w:tc>
      </w:tr>
      <w:tr>
        <w:trPr>
          <w:trHeight w:val="257"/>
        </w:trPr>
        <w:tc>
          <w:tcPr>
            <w:tcW w:w="57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34,792</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40,800</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700" w:type="dxa"/>
            <w:vAlign w:val="bottom"/>
          </w:tcPr>
          <w:p>
            <w:pPr>
              <w:ind w:left="60"/>
              <w:spacing w:after="0"/>
              <w:rPr>
                <w:sz w:val="20"/>
                <w:szCs w:val="20"/>
                <w:color w:val="auto"/>
              </w:rPr>
            </w:pPr>
            <w:r>
              <w:rPr>
                <w:rFonts w:ascii="Arial" w:cs="Arial" w:eastAsia="Arial" w:hAnsi="Arial"/>
                <w:sz w:val="18"/>
                <w:szCs w:val="18"/>
                <w:color w:val="auto"/>
              </w:rPr>
              <w:t>CURRENT LIABILITIES:</w:t>
            </w: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maturities of long-term liabilities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Trade payables and accrued expenses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2,996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2,715</w:t>
            </w:r>
          </w:p>
        </w:tc>
      </w:tr>
      <w:tr>
        <w:trPr>
          <w:trHeight w:val="223"/>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payables</w:t>
            </w:r>
          </w:p>
        </w:tc>
        <w:tc>
          <w:tcPr>
            <w:tcW w:w="17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w:t>
            </w:r>
          </w:p>
        </w:tc>
      </w:tr>
      <w:tr>
        <w:trPr>
          <w:trHeight w:val="216"/>
        </w:trPr>
        <w:tc>
          <w:tcPr>
            <w:tcW w:w="57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70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4,897</w:t>
            </w:r>
          </w:p>
        </w:tc>
      </w:tr>
      <w:tr>
        <w:trPr>
          <w:trHeight w:val="216"/>
        </w:trPr>
        <w:tc>
          <w:tcPr>
            <w:tcW w:w="5700" w:type="dxa"/>
            <w:vAlign w:val="bottom"/>
            <w:tcBorders>
              <w:top w:val="single" w:sz="8" w:color="CCEEFF"/>
            </w:tcBorders>
          </w:tcPr>
          <w:p>
            <w:pPr>
              <w:ind w:left="6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LIABILITIES:</w:t>
            </w:r>
          </w:p>
        </w:tc>
        <w:tc>
          <w:tcPr>
            <w:tcW w:w="17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Deferred revenues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Liabilities in respect of IIA grants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7,497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7,577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7,568</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Contingent consideration for the purchase of shares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6,330</w:t>
            </w: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Liability in respect of discontinued operation</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6,003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6,003</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Lease liabilities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tcPr>
          <w:p>
            <w:pPr>
              <w:ind w:left="60"/>
              <w:spacing w:after="0"/>
              <w:rPr>
                <w:sz w:val="20"/>
                <w:szCs w:val="20"/>
                <w:color w:val="auto"/>
              </w:rPr>
            </w:pPr>
            <w:r>
              <w:rPr>
                <w:rFonts w:ascii="Arial" w:cs="Arial" w:eastAsia="Arial" w:hAnsi="Arial"/>
                <w:sz w:val="18"/>
                <w:szCs w:val="18"/>
                <w:color w:val="auto"/>
              </w:rPr>
              <w:t>Severance pay liability, net</w:t>
            </w:r>
          </w:p>
        </w:tc>
        <w:tc>
          <w:tcPr>
            <w:tcW w:w="1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r>
      <w:tr>
        <w:trPr>
          <w:trHeight w:val="216"/>
        </w:trPr>
        <w:tc>
          <w:tcPr>
            <w:tcW w:w="5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700" w:type="dxa"/>
            <w:vAlign w:val="bottom"/>
          </w:tcPr>
          <w:p>
            <w:pPr>
              <w:spacing w:after="0"/>
              <w:rPr>
                <w:sz w:val="19"/>
                <w:szCs w:val="19"/>
                <w:color w:val="auto"/>
              </w:rPr>
            </w:pPr>
          </w:p>
        </w:tc>
        <w:tc>
          <w:tcPr>
            <w:tcW w:w="3120" w:type="dxa"/>
            <w:vAlign w:val="bottom"/>
            <w:gridSpan w:val="3"/>
          </w:tcPr>
          <w:p>
            <w:pPr>
              <w:jc w:val="right"/>
              <w:ind w:right="130"/>
              <w:spacing w:after="0"/>
              <w:rPr>
                <w:sz w:val="20"/>
                <w:szCs w:val="20"/>
                <w:color w:val="auto"/>
              </w:rPr>
            </w:pPr>
            <w:r>
              <w:rPr>
                <w:rFonts w:ascii="Arial" w:cs="Arial" w:eastAsia="Arial" w:hAnsi="Arial"/>
                <w:sz w:val="18"/>
                <w:szCs w:val="18"/>
                <w:color w:val="auto"/>
              </w:rPr>
              <w:t>22,199</w:t>
            </w: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29,478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21,407</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SHAREHOLDERS' EQUITY:</w:t>
            </w:r>
          </w:p>
        </w:tc>
        <w:tc>
          <w:tcPr>
            <w:tcW w:w="17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Ordinary shares of NIS 0.01 par value:</w:t>
            </w: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7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0"/>
              </w:rPr>
              <w:t>Authorized: 37,244,508 shares as of March 31, 2019 ,December 31, 2018 and</w:t>
            </w:r>
          </w:p>
        </w:tc>
        <w:tc>
          <w:tcPr>
            <w:tcW w:w="3460" w:type="dxa"/>
            <w:vAlign w:val="bottom"/>
            <w:gridSpan w:val="4"/>
            <w:shd w:val="clear" w:color="auto" w:fill="CCEEFF"/>
          </w:tcPr>
          <w:p>
            <w:pPr>
              <w:ind w:left="40"/>
              <w:spacing w:after="0" w:line="201" w:lineRule="exact"/>
              <w:rPr>
                <w:sz w:val="20"/>
                <w:szCs w:val="20"/>
                <w:color w:val="auto"/>
              </w:rPr>
            </w:pPr>
            <w:r>
              <w:rPr>
                <w:rFonts w:ascii="Arial" w:cs="Arial" w:eastAsia="Arial" w:hAnsi="Arial"/>
                <w:sz w:val="18"/>
                <w:szCs w:val="18"/>
                <w:color w:val="auto"/>
              </w:rPr>
              <w:t>32,244,508 shares as</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16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rPr>
              <w:t>of March 31, 2018; Issued and Outstanding: 27,178,839 as of March 31, 2019 and December</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31, 2018 and 27,047,737 as of March 31, 2018</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5700" w:type="dxa"/>
            <w:vAlign w:val="bottom"/>
          </w:tcPr>
          <w:p>
            <w:pPr>
              <w:ind w:left="60"/>
              <w:spacing w:after="0"/>
              <w:rPr>
                <w:sz w:val="20"/>
                <w:szCs w:val="20"/>
                <w:color w:val="auto"/>
              </w:rPr>
            </w:pPr>
            <w:r>
              <w:rPr>
                <w:rFonts w:ascii="Arial" w:cs="Arial" w:eastAsia="Arial" w:hAnsi="Arial"/>
                <w:sz w:val="18"/>
                <w:szCs w:val="18"/>
                <w:color w:val="auto"/>
              </w:rPr>
              <w:t>Share premium</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139,912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139,210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139,637</w:t>
            </w:r>
          </w:p>
        </w:tc>
      </w:tr>
      <w:tr>
        <w:trPr>
          <w:trHeight w:val="21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Foreign currency translation adjustments</w:t>
            </w:r>
          </w:p>
        </w:tc>
        <w:tc>
          <w:tcPr>
            <w:tcW w:w="31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23"/>
        </w:trPr>
        <w:tc>
          <w:tcPr>
            <w:tcW w:w="5700" w:type="dxa"/>
            <w:vAlign w:val="bottom"/>
          </w:tcPr>
          <w:p>
            <w:pPr>
              <w:ind w:left="60"/>
              <w:spacing w:after="0"/>
              <w:rPr>
                <w:sz w:val="20"/>
                <w:szCs w:val="20"/>
                <w:color w:val="auto"/>
              </w:rPr>
            </w:pPr>
            <w:r>
              <w:rPr>
                <w:rFonts w:ascii="Arial" w:cs="Arial" w:eastAsia="Arial" w:hAnsi="Arial"/>
                <w:sz w:val="18"/>
                <w:szCs w:val="18"/>
                <w:color w:val="auto"/>
              </w:rPr>
              <w:t>Accumulated deficit</w:t>
            </w:r>
          </w:p>
        </w:tc>
        <w:tc>
          <w:tcPr>
            <w:tcW w:w="1740" w:type="dxa"/>
            <w:vAlign w:val="bottom"/>
          </w:tcPr>
          <w:p>
            <w:pPr>
              <w:spacing w:after="0"/>
              <w:rPr>
                <w:sz w:val="19"/>
                <w:szCs w:val="19"/>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(134,825)</w:t>
            </w: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(134,209)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(130,715)</w:t>
            </w:r>
          </w:p>
        </w:tc>
      </w:tr>
      <w:tr>
        <w:trPr>
          <w:trHeight w:val="216"/>
        </w:trPr>
        <w:tc>
          <w:tcPr>
            <w:tcW w:w="5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700" w:type="dxa"/>
            <w:vAlign w:val="bottom"/>
          </w:tcPr>
          <w:p>
            <w:pPr>
              <w:spacing w:after="0"/>
              <w:rPr>
                <w:sz w:val="19"/>
                <w:szCs w:val="19"/>
                <w:color w:val="auto"/>
              </w:rPr>
            </w:pP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5,141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8,972</w:t>
            </w:r>
          </w:p>
        </w:tc>
      </w:tr>
      <w:tr>
        <w:trPr>
          <w:trHeight w:val="257"/>
        </w:trPr>
        <w:tc>
          <w:tcPr>
            <w:tcW w:w="57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34,792</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40,800</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interim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Three months ended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7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w w:val="74"/>
              </w:rPr>
              <w:t>Unaudited</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16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gross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Participations by BARDA and IIA</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(2,903)</w:t>
            </w: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(2,847)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 of participations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Selling and marketing</w:t>
            </w:r>
          </w:p>
        </w:tc>
        <w:tc>
          <w:tcPr>
            <w:tcW w:w="1160" w:type="dxa"/>
            <w:vAlign w:val="bottom"/>
          </w:tcPr>
          <w:p>
            <w:pPr>
              <w:jc w:val="right"/>
              <w:spacing w:after="0"/>
              <w:rPr>
                <w:sz w:val="20"/>
                <w:szCs w:val="20"/>
                <w:color w:val="auto"/>
              </w:rPr>
            </w:pPr>
            <w:r>
              <w:rPr>
                <w:rFonts w:ascii="Arial" w:cs="Arial" w:eastAsia="Arial" w:hAnsi="Arial"/>
                <w:sz w:val="18"/>
                <w:szCs w:val="18"/>
                <w:color w:val="auto"/>
              </w:rPr>
              <w:t>1,033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income from settlement agreement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3,733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loss</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(3,579)</w:t>
            </w: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(3,714)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Financial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(642)</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(4,160)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Profit from discontinued operation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220" w:type="dxa"/>
            <w:vAlign w:val="bottom"/>
            <w:tcBorders>
              <w:left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220" w:type="dxa"/>
            <w:vAlign w:val="bottom"/>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Items to be reclassified to profit or loss in subsequent periods:</w:t>
            </w:r>
          </w:p>
        </w:tc>
        <w:tc>
          <w:tcPr>
            <w:tcW w:w="11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220" w:type="dxa"/>
            <w:vAlign w:val="bottom"/>
            <w:tcBorders>
              <w:left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220" w:type="dxa"/>
            <w:vAlign w:val="bottom"/>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Basic and diluted loss per share:</w:t>
            </w: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from continuing operations</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(0.15)</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Basic and diluted net profit per share from discontinued operations</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Basic and diluted net loss per share</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(0.15)</w:t>
            </w:r>
          </w:p>
        </w:tc>
        <w:tc>
          <w:tcPr>
            <w:tcW w:w="3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 average number of ordinary shares used in the computation of basic and diluted loss per</w:t>
            </w:r>
          </w:p>
        </w:tc>
        <w:tc>
          <w:tcPr>
            <w:tcW w:w="11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(in thousands):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27,179</w:t>
            </w:r>
          </w:p>
        </w:tc>
        <w:tc>
          <w:tcPr>
            <w:tcW w:w="220" w:type="dxa"/>
            <w:vAlign w:val="bottom"/>
            <w:tcBorders>
              <w:lef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interim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Represents an amount lower than $1.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left="7700"/>
        <w:spacing w:after="0"/>
        <w:rPr>
          <w:sz w:val="20"/>
          <w:szCs w:val="20"/>
          <w:color w:val="auto"/>
        </w:rPr>
      </w:pPr>
      <w:r>
        <w:rPr>
          <w:rFonts w:ascii="Arial" w:cs="Arial" w:eastAsia="Arial" w:hAnsi="Arial"/>
          <w:sz w:val="18"/>
          <w:szCs w:val="18"/>
          <w:b w:val="1"/>
          <w:bCs w:val="1"/>
          <w:color w:val="auto"/>
        </w:rPr>
        <w:t>MEDIWOUND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U.S. dollars in thousands</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Share capital</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139,637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(130,715)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(4,110)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as of March 31, 2019</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139,912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(134,825)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Share capital</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138,992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Accumulated effect of adopting IFRS 15</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as of January 1, 2018</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138,992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(129,658)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Loss for the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(4,551)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139,210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(134,209)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interim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7700"/>
        <w:spacing w:after="0"/>
        <w:rPr>
          <w:sz w:val="20"/>
          <w:szCs w:val="20"/>
          <w:color w:val="auto"/>
        </w:rPr>
      </w:pPr>
      <w:r>
        <w:rPr>
          <w:rFonts w:ascii="Arial" w:cs="Arial" w:eastAsia="Arial" w:hAnsi="Arial"/>
          <w:sz w:val="18"/>
          <w:szCs w:val="18"/>
          <w:b w:val="1"/>
          <w:bCs w:val="1"/>
          <w:color w:val="auto"/>
        </w:rPr>
        <w:t>MEDIWOUND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U.S. dollars in thousands</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Share capital</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138,992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Accumulated effect of adopting IFRS 15</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as of January 1, 2018</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138,992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(129,658)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Loss for the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(1,057)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comprehensive (loss)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(1,057)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Exercise of options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139,637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(130,715)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Represents an amount lower than $1.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interim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7700"/>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U.S. dollars in thousands</w:t>
            </w:r>
          </w:p>
        </w:tc>
        <w:tc>
          <w:tcPr>
            <w:tcW w:w="1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Three months ended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w w:val="74"/>
              </w:rPr>
              <w:t>Unaudited</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Cash Flows from Operating Activities:</w:t>
            </w:r>
          </w:p>
        </w:tc>
        <w:tc>
          <w:tcPr>
            <w:tcW w:w="19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w:t>
            </w:r>
          </w:p>
        </w:tc>
        <w:tc>
          <w:tcPr>
            <w:tcW w:w="2660" w:type="dxa"/>
            <w:vAlign w:val="bottom"/>
            <w:tcBorders>
              <w:top w:val="single" w:sz="8" w:color="CCEEFF"/>
            </w:tcBorders>
          </w:tcPr>
          <w:p>
            <w:pPr>
              <w:spacing w:after="0"/>
              <w:rPr>
                <w:sz w:val="19"/>
                <w:szCs w:val="19"/>
                <w:color w:val="auto"/>
              </w:rPr>
            </w:pPr>
          </w:p>
        </w:tc>
        <w:tc>
          <w:tcPr>
            <w:tcW w:w="3360" w:type="dxa"/>
            <w:vAlign w:val="bottom"/>
            <w:tcBorders>
              <w:top w:val="single" w:sz="8" w:color="CCEEFF"/>
            </w:tcBorders>
            <w:gridSpan w:val="3"/>
          </w:tcPr>
          <w:p>
            <w:pPr>
              <w:jc w:val="right"/>
              <w:ind w:right="70"/>
              <w:spacing w:after="0"/>
              <w:rPr>
                <w:sz w:val="20"/>
                <w:szCs w:val="20"/>
                <w:color w:val="auto"/>
              </w:rPr>
            </w:pPr>
            <w:r>
              <w:rPr>
                <w:rFonts w:ascii="Arial" w:cs="Arial" w:eastAsia="Arial" w:hAnsi="Arial"/>
                <w:sz w:val="18"/>
                <w:szCs w:val="18"/>
                <w:color w:val="auto"/>
              </w:rPr>
              <w:t>(4,110)</w:t>
            </w:r>
          </w:p>
        </w:tc>
        <w:tc>
          <w:tcPr>
            <w:tcW w:w="34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(4,551)</w:t>
            </w:r>
          </w:p>
        </w:tc>
        <w:tc>
          <w:tcPr>
            <w:tcW w:w="12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Adjustments to profit and loss items:</w:t>
            </w:r>
          </w:p>
        </w:tc>
        <w:tc>
          <w:tcPr>
            <w:tcW w:w="1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Profit from discontinued operation</w:t>
            </w:r>
          </w:p>
        </w:tc>
        <w:tc>
          <w:tcPr>
            <w:tcW w:w="33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Revaluation of liabilities in respect of IIA grants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Revaluation of contingent consideration for the purchase of shares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Other income from settlement agreement</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Revaluation of lease liabilities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Increase (decrease) in severance pay liability, net</w:t>
            </w:r>
          </w:p>
        </w:tc>
        <w:tc>
          <w:tcPr>
            <w:tcW w:w="3360" w:type="dxa"/>
            <w:vAlign w:val="bottom"/>
            <w:gridSpan w:val="3"/>
          </w:tcPr>
          <w:p>
            <w:pPr>
              <w:jc w:val="right"/>
              <w:ind w:right="7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financing income</w:t>
            </w:r>
          </w:p>
        </w:tc>
        <w:tc>
          <w:tcPr>
            <w:tcW w:w="33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Un-realized foreign currency (gain) loss</w:t>
            </w:r>
          </w:p>
        </w:tc>
        <w:tc>
          <w:tcPr>
            <w:tcW w:w="1980" w:type="dxa"/>
            <w:vAlign w:val="bottom"/>
          </w:tcPr>
          <w:p>
            <w:pPr>
              <w:spacing w:after="0"/>
              <w:rPr>
                <w:sz w:val="19"/>
                <w:szCs w:val="19"/>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1,067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Changes in asset and liability items:</w:t>
            </w:r>
          </w:p>
        </w:tc>
        <w:tc>
          <w:tcPr>
            <w:tcW w:w="19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Decrease (increase) in trade receivables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Decrease (increase) in inventories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Decrease (increase) in other receivables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 in trade payables and accrued expenses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Increase (decrease) in other payables and deferred revenues</w:t>
            </w:r>
          </w:p>
        </w:tc>
        <w:tc>
          <w:tcPr>
            <w:tcW w:w="19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Net cash used in continuing operating activities</w:t>
            </w:r>
          </w:p>
        </w:tc>
        <w:tc>
          <w:tcPr>
            <w:tcW w:w="3360" w:type="dxa"/>
            <w:vAlign w:val="bottom"/>
            <w:gridSpan w:val="3"/>
          </w:tcPr>
          <w:p>
            <w:pPr>
              <w:jc w:val="right"/>
              <w:ind w:right="70"/>
              <w:spacing w:after="0"/>
              <w:rPr>
                <w:sz w:val="20"/>
                <w:szCs w:val="20"/>
                <w:color w:val="auto"/>
              </w:rPr>
            </w:pPr>
            <w:r>
              <w:rPr>
                <w:rFonts w:ascii="Arial" w:cs="Arial" w:eastAsia="Arial" w:hAnsi="Arial"/>
                <w:sz w:val="18"/>
                <w:szCs w:val="18"/>
                <w:color w:val="auto"/>
              </w:rPr>
              <w:t>(1,896)</w:t>
            </w: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(3,131)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discontinued operating activities</w:t>
            </w:r>
          </w:p>
        </w:tc>
        <w:tc>
          <w:tcPr>
            <w:tcW w:w="19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9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(1,846)</w:t>
            </w: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60" w:type="dxa"/>
            <w:vAlign w:val="bottom"/>
            <w:gridSpan w:val="3"/>
          </w:tcPr>
          <w:p>
            <w:pPr>
              <w:spacing w:after="0"/>
              <w:rPr>
                <w:sz w:val="20"/>
                <w:szCs w:val="20"/>
                <w:color w:val="auto"/>
              </w:rPr>
            </w:pPr>
            <w:r>
              <w:rPr>
                <w:rFonts w:ascii="Arial" w:cs="Arial" w:eastAsia="Arial" w:hAnsi="Arial"/>
                <w:sz w:val="18"/>
                <w:szCs w:val="18"/>
                <w:color w:val="auto"/>
                <w:w w:val="94"/>
              </w:rPr>
              <w:t>The accompanying notes are an integral part of the financial statements.</w:t>
            </w: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80" w:type="dxa"/>
            <w:vAlign w:val="bottom"/>
          </w:tcPr>
          <w:p>
            <w:pPr>
              <w:jc w:val="right"/>
              <w:ind w:right="1590"/>
              <w:spacing w:after="0"/>
              <w:rPr>
                <w:sz w:val="20"/>
                <w:szCs w:val="20"/>
                <w:color w:val="auto"/>
              </w:rPr>
            </w:pPr>
            <w:r>
              <w:rPr>
                <w:rFonts w:ascii="Arial" w:cs="Arial" w:eastAsia="Arial" w:hAnsi="Arial"/>
                <w:sz w:val="18"/>
                <w:szCs w:val="18"/>
                <w:color w:val="auto"/>
              </w:rPr>
              <w:t>6</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80" w:type="dxa"/>
            <w:vAlign w:val="bottom"/>
            <w:tcBorders>
              <w:bottom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4"/>
          </w:tcPr>
          <w:p>
            <w:pPr>
              <w:spacing w:after="0"/>
              <w:rPr>
                <w:sz w:val="20"/>
                <w:szCs w:val="20"/>
                <w:color w:val="auto"/>
              </w:rPr>
            </w:pPr>
            <w:r>
              <w:rPr>
                <w:rFonts w:ascii="Arial" w:cs="Arial" w:eastAsia="Arial" w:hAnsi="Arial"/>
                <w:sz w:val="18"/>
                <w:szCs w:val="18"/>
                <w:b w:val="1"/>
                <w:bCs w:val="1"/>
                <w:color w:val="auto"/>
              </w:rPr>
              <w:t>U.S. dollars in thousands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Three months ended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w w:val="74"/>
              </w:rPr>
              <w:t>Unaudited</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spacing w:after="0"/>
              <w:rPr>
                <w:sz w:val="18"/>
                <w:szCs w:val="18"/>
                <w:color w:val="auto"/>
              </w:rPr>
            </w:pPr>
          </w:p>
        </w:tc>
        <w:tc>
          <w:tcPr>
            <w:tcW w:w="12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(239)</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Purchase of intangible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Proceeds from (investment in) short term bank deposits, net</w:t>
            </w:r>
          </w:p>
        </w:tc>
        <w:tc>
          <w:tcPr>
            <w:tcW w:w="1160" w:type="dxa"/>
            <w:vAlign w:val="bottom"/>
          </w:tcPr>
          <w:p>
            <w:pPr>
              <w:jc w:val="right"/>
              <w:spacing w:after="0"/>
              <w:rPr>
                <w:sz w:val="20"/>
                <w:szCs w:val="20"/>
                <w:color w:val="auto"/>
              </w:rPr>
            </w:pPr>
            <w:r>
              <w:rPr>
                <w:rFonts w:ascii="Arial" w:cs="Arial" w:eastAsia="Arial" w:hAnsi="Arial"/>
                <w:sz w:val="18"/>
                <w:szCs w:val="18"/>
                <w:color w:val="auto"/>
              </w:rPr>
              <w:t>2,565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(22,845)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(16,612)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Net cash provided by (used in) investing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2,356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(22,961)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Repayment of leases liabilities</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(155)</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exercise of options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Net proceeds of IIA grant (repayment of IIA grants)</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Net cash (used in) provided by financing activities</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(210)</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Exchange rate differences on cash and cash equivalent balances</w:t>
            </w: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
        </w:trPr>
        <w:tc>
          <w:tcPr>
            <w:tcW w:w="2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Increase (decrease) in cash and cash equivalents from continuing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(26,078)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cash and cash equivalents from discontinued activities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of cash and cash equivalents at the beginning of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36,069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of cash and cash equivalents at the end of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an amount lower than $1.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GENERAL</w:t>
      </w:r>
    </w:p>
    <w:p>
      <w:pPr>
        <w:spacing w:after="0" w:line="283" w:lineRule="exact"/>
        <w:rPr>
          <w:sz w:val="20"/>
          <w:szCs w:val="20"/>
          <w:color w:val="auto"/>
        </w:rPr>
      </w:pPr>
    </w:p>
    <w:p>
      <w:pPr>
        <w:ind w:left="1520" w:hanging="499"/>
        <w:spacing w:after="0"/>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description of the Company and its operations:</w:t>
      </w:r>
    </w:p>
    <w:p>
      <w:pPr>
        <w:spacing w:after="0" w:line="225" w:lineRule="exact"/>
        <w:rPr>
          <w:rFonts w:ascii="Arial" w:cs="Arial" w:eastAsia="Arial" w:hAnsi="Arial"/>
          <w:sz w:val="18"/>
          <w:szCs w:val="18"/>
          <w:color w:val="auto"/>
        </w:rPr>
      </w:pPr>
    </w:p>
    <w:p>
      <w:pPr>
        <w:jc w:val="both"/>
        <w:ind w:left="1520"/>
        <w:spacing w:after="0" w:line="264" w:lineRule="auto"/>
        <w:rPr>
          <w:rFonts w:ascii="Arial" w:cs="Arial" w:eastAsia="Arial" w:hAnsi="Arial"/>
          <w:sz w:val="18"/>
          <w:szCs w:val="18"/>
          <w:color w:val="auto"/>
        </w:rPr>
      </w:pPr>
      <w:r>
        <w:rPr>
          <w:rFonts w:ascii="Arial" w:cs="Arial" w:eastAsia="Arial" w:hAnsi="Arial"/>
          <w:sz w:val="18"/>
          <w:szCs w:val="18"/>
          <w:color w:val="auto"/>
        </w:rPr>
        <w:t>MediWound Ltd. (the "Company" or "MediWound"), is a fully integrated biopharmaceutical company focused on developing, manufacturing and commercializing novel products to address unmet needs in the fields of severe burns, chronic and other hard to heal wounds, connective tissue disorders and other indications.</w:t>
      </w:r>
    </w:p>
    <w:p>
      <w:pPr>
        <w:spacing w:after="0" w:line="181" w:lineRule="exact"/>
        <w:rPr>
          <w:rFonts w:ascii="Arial" w:cs="Arial" w:eastAsia="Arial" w:hAnsi="Arial"/>
          <w:sz w:val="18"/>
          <w:szCs w:val="18"/>
          <w:color w:val="auto"/>
        </w:rPr>
      </w:pPr>
    </w:p>
    <w:p>
      <w:pPr>
        <w:jc w:val="both"/>
        <w:ind w:left="1520"/>
        <w:spacing w:after="0" w:line="259" w:lineRule="auto"/>
        <w:rPr>
          <w:rFonts w:ascii="Arial" w:cs="Arial" w:eastAsia="Arial" w:hAnsi="Arial"/>
          <w:sz w:val="18"/>
          <w:szCs w:val="18"/>
          <w:color w:val="auto"/>
        </w:rPr>
      </w:pPr>
      <w:r>
        <w:rPr>
          <w:rFonts w:ascii="Arial" w:cs="Arial" w:eastAsia="Arial" w:hAnsi="Arial"/>
          <w:sz w:val="18"/>
          <w:szCs w:val="18"/>
          <w:color w:val="auto"/>
        </w:rPr>
        <w:t>The Company's innovative biopharmaceutical product, NexoBrid, received marketing authorization from the European Medicines Agency ("EMA") as well as the Israeli, Argentinean, South-Korean and Russian Ministries of Health, for removal of dead or damaged tissue, known as eschar, in adults with deep partial and full thickness thermal burns. The Company sells NexoBrid in Europe and in Israel through its commercial organizations and in other territories through local distributers.</w:t>
      </w:r>
    </w:p>
    <w:p>
      <w:pPr>
        <w:spacing w:after="0" w:line="186" w:lineRule="exact"/>
        <w:rPr>
          <w:rFonts w:ascii="Arial" w:cs="Arial" w:eastAsia="Arial" w:hAnsi="Arial"/>
          <w:sz w:val="18"/>
          <w:szCs w:val="18"/>
          <w:color w:val="auto"/>
        </w:rPr>
      </w:pPr>
    </w:p>
    <w:p>
      <w:pPr>
        <w:ind w:left="1520" w:right="420"/>
        <w:spacing w:after="0" w:line="277" w:lineRule="auto"/>
        <w:rPr>
          <w:rFonts w:ascii="Arial" w:cs="Arial" w:eastAsia="Arial" w:hAnsi="Arial"/>
          <w:sz w:val="18"/>
          <w:szCs w:val="18"/>
          <w:color w:val="auto"/>
        </w:rPr>
      </w:pPr>
      <w:r>
        <w:rPr>
          <w:rFonts w:ascii="Arial" w:cs="Arial" w:eastAsia="Arial" w:hAnsi="Arial"/>
          <w:sz w:val="18"/>
          <w:szCs w:val="18"/>
          <w:color w:val="auto"/>
        </w:rPr>
        <w:t>The Company second investigational innovative product, EscharEx, is a topical biological drug being developed for debridement of chronic and other hard-to-heal wounds.</w:t>
      </w:r>
    </w:p>
    <w:p>
      <w:pPr>
        <w:spacing w:after="0" w:line="170"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The Company's securities are listed for trading on NASDAQ since March 2014.</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jc w:val="both"/>
        <w:ind w:left="1520" w:hanging="499"/>
        <w:spacing w:after="0" w:line="264" w:lineRule="auto"/>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has two wholly owned subsidiaries: MediWound Germany GmbH, acting as Europe (“EU”) marketing authorization holder and EU sales and marketing arm and MediWound UK Limited, an inactive company. In addition, the Company owns approximately 8% of PolyHeal Ltd., a private life sciences company ("PolyHeal").</w:t>
      </w:r>
    </w:p>
    <w:p>
      <w:pPr>
        <w:spacing w:after="0" w:line="235" w:lineRule="exact"/>
        <w:rPr>
          <w:rFonts w:ascii="Arial" w:cs="Arial" w:eastAsia="Arial" w:hAnsi="Arial"/>
          <w:sz w:val="18"/>
          <w:szCs w:val="18"/>
          <w:color w:val="auto"/>
        </w:rPr>
      </w:pPr>
    </w:p>
    <w:p>
      <w:pPr>
        <w:jc w:val="both"/>
        <w:ind w:left="1520" w:hanging="499"/>
        <w:spacing w:after="0" w:line="272" w:lineRule="auto"/>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has a contract with the U.S. Biomedical Advanced Research and Development Authority ("BARDA"), which was modified in July 2017, for the advancement of the development and manufacturing, as well as the procurement of NexoBrid, as a medical countermeasure as part of BARDA preparedness for mass casualty events. The modified contract includes $56,000 of funding to support development activities to complete the U.S. Food and Drug Administration (FDA) approval process for NexoBrid for use in thermal burn injuries, as well as $16,475 for procurement of NexoBrid, which is contingent upon FDA Emergency Use Authorization (EUA) and/or FDA marketing authorization for NexoBrid. In addition, the contract includes options for further funding of up to $10,000 for expanding NexoBrid’s indications and of up to $50,000 for additional procurement of NexoBrid.</w:t>
      </w:r>
    </w:p>
    <w:p>
      <w:pPr>
        <w:spacing w:after="0" w:line="231" w:lineRule="exact"/>
        <w:rPr>
          <w:rFonts w:ascii="Arial" w:cs="Arial" w:eastAsia="Arial" w:hAnsi="Arial"/>
          <w:sz w:val="17"/>
          <w:szCs w:val="17"/>
          <w:color w:val="auto"/>
        </w:rPr>
      </w:pPr>
    </w:p>
    <w:p>
      <w:pPr>
        <w:ind w:left="1540"/>
        <w:spacing w:after="0" w:line="258" w:lineRule="auto"/>
        <w:rPr>
          <w:rFonts w:ascii="Arial" w:cs="Arial" w:eastAsia="Arial" w:hAnsi="Arial"/>
          <w:sz w:val="17"/>
          <w:szCs w:val="17"/>
          <w:color w:val="auto"/>
        </w:rPr>
      </w:pPr>
      <w:r>
        <w:rPr>
          <w:rFonts w:ascii="Arial" w:cs="Arial" w:eastAsia="Arial" w:hAnsi="Arial"/>
          <w:sz w:val="18"/>
          <w:szCs w:val="18"/>
          <w:color w:val="auto"/>
        </w:rPr>
        <w:t>On September 28, 2018, BARDA has awarded MediWound a new contract to develop NexoBrid for the treatment of Sulfur Mustard injuries.</w:t>
      </w:r>
    </w:p>
    <w:p>
      <w:pPr>
        <w:spacing w:after="0" w:line="1" w:lineRule="exact"/>
        <w:rPr>
          <w:rFonts w:ascii="Arial" w:cs="Arial" w:eastAsia="Arial" w:hAnsi="Arial"/>
          <w:sz w:val="17"/>
          <w:szCs w:val="17"/>
          <w:color w:val="auto"/>
        </w:rPr>
      </w:pPr>
    </w:p>
    <w:p>
      <w:pPr>
        <w:jc w:val="both"/>
        <w:ind w:left="1540"/>
        <w:spacing w:after="0" w:line="254" w:lineRule="auto"/>
        <w:rPr>
          <w:rFonts w:ascii="Arial" w:cs="Arial" w:eastAsia="Arial" w:hAnsi="Arial"/>
          <w:sz w:val="17"/>
          <w:szCs w:val="17"/>
          <w:color w:val="auto"/>
        </w:rPr>
      </w:pPr>
      <w:r>
        <w:rPr>
          <w:rFonts w:ascii="Arial" w:cs="Arial" w:eastAsia="Arial" w:hAnsi="Arial"/>
          <w:sz w:val="18"/>
          <w:szCs w:val="18"/>
          <w:color w:val="auto"/>
        </w:rPr>
        <w:t>The contract provides $12,000 of funding to support research and development activities up to pivotal studies in animals under the U.S. Food and Drug Administration (FDA) Animal Rule. The contract also contains options for additional funding of up to $31,000 for additional development activities, animal pivotal studies, and the FDA Biologics License Application (BLA) submission for approval of NexoBrid for the treatment of Sulfur Mustard injuries.</w:t>
      </w:r>
    </w:p>
    <w:p>
      <w:pPr>
        <w:spacing w:after="0" w:line="189"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8"/>
          <w:szCs w:val="18"/>
          <w:color w:val="auto"/>
        </w:rPr>
        <w:t>As of March 31, 2019 the Company recorded $ 30,927 in funding from BARDA under the contracts.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w:t>
      </w:r>
    </w:p>
    <w:p>
      <w:pPr>
        <w:spacing w:after="0" w:line="28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following accounting policies have been applied consistently in the financial statements for all periods presented unless otherwise stated.</w:t>
      </w:r>
    </w:p>
    <w:p>
      <w:pPr>
        <w:spacing w:after="0" w:line="302" w:lineRule="exact"/>
        <w:rPr>
          <w:sz w:val="20"/>
          <w:szCs w:val="20"/>
          <w:color w:val="auto"/>
        </w:rPr>
      </w:pPr>
    </w:p>
    <w:p>
      <w:pPr>
        <w:ind w:left="1520" w:hanging="499"/>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Basis of presentation of financial statements:</w:t>
      </w:r>
    </w:p>
    <w:p>
      <w:pPr>
        <w:spacing w:after="0" w:line="279" w:lineRule="exact"/>
        <w:rPr>
          <w:rFonts w:ascii="Arial" w:cs="Arial" w:eastAsia="Arial" w:hAnsi="Arial"/>
          <w:sz w:val="18"/>
          <w:szCs w:val="18"/>
          <w:color w:val="auto"/>
        </w:rPr>
      </w:pPr>
    </w:p>
    <w:p>
      <w:pPr>
        <w:ind w:left="1540" w:right="2680"/>
        <w:spacing w:after="0" w:line="342" w:lineRule="auto"/>
        <w:rPr>
          <w:rFonts w:ascii="Arial" w:cs="Arial" w:eastAsia="Arial" w:hAnsi="Arial"/>
          <w:sz w:val="18"/>
          <w:szCs w:val="18"/>
          <w:color w:val="auto"/>
        </w:rPr>
      </w:pPr>
      <w:r>
        <w:rPr>
          <w:rFonts w:ascii="Arial" w:cs="Arial" w:eastAsia="Arial" w:hAnsi="Arial"/>
          <w:sz w:val="16"/>
          <w:szCs w:val="16"/>
          <w:color w:val="auto"/>
        </w:rPr>
        <w:t>These financial statements have been prepared in accordance with International Financial Reporting Standards ("IFRS") as issued by the International Accounting Standards Board ("IASB").</w:t>
      </w:r>
    </w:p>
    <w:p>
      <w:pPr>
        <w:spacing w:after="0" w:line="177" w:lineRule="exact"/>
        <w:rPr>
          <w:rFonts w:ascii="Arial" w:cs="Arial" w:eastAsia="Arial" w:hAnsi="Arial"/>
          <w:sz w:val="18"/>
          <w:szCs w:val="18"/>
          <w:color w:val="auto"/>
        </w:rPr>
      </w:pPr>
    </w:p>
    <w:p>
      <w:pPr>
        <w:ind w:left="1520" w:hanging="499"/>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Basis of preparation of the interim consolidated financial statements:</w:t>
      </w:r>
    </w:p>
    <w:p>
      <w:pPr>
        <w:spacing w:after="0" w:line="279" w:lineRule="exact"/>
        <w:rPr>
          <w:rFonts w:ascii="Arial" w:cs="Arial" w:eastAsia="Arial" w:hAnsi="Arial"/>
          <w:sz w:val="18"/>
          <w:szCs w:val="18"/>
          <w:color w:val="auto"/>
        </w:rPr>
      </w:pPr>
    </w:p>
    <w:p>
      <w:pPr>
        <w:ind w:left="1540"/>
        <w:spacing w:after="0" w:line="258" w:lineRule="auto"/>
        <w:rPr>
          <w:rFonts w:ascii="Arial" w:cs="Arial" w:eastAsia="Arial" w:hAnsi="Arial"/>
          <w:sz w:val="18"/>
          <w:szCs w:val="18"/>
          <w:color w:val="auto"/>
        </w:rPr>
      </w:pPr>
      <w:r>
        <w:rPr>
          <w:rFonts w:ascii="Arial" w:cs="Arial" w:eastAsia="Arial" w:hAnsi="Arial"/>
          <w:sz w:val="18"/>
          <w:szCs w:val="18"/>
          <w:color w:val="auto"/>
        </w:rPr>
        <w:t>The interim condensed consolidated financial statements for the three months ended March 31, 2019 have been prepared in accordance with IAS 34 "Interim Financial Reporting".</w:t>
      </w:r>
    </w:p>
    <w:p>
      <w:pPr>
        <w:spacing w:after="0" w:line="1" w:lineRule="exact"/>
        <w:rPr>
          <w:rFonts w:ascii="Arial" w:cs="Arial" w:eastAsia="Arial" w:hAnsi="Arial"/>
          <w:sz w:val="18"/>
          <w:szCs w:val="18"/>
          <w:color w:val="auto"/>
        </w:rPr>
      </w:pPr>
    </w:p>
    <w:p>
      <w:pPr>
        <w:jc w:val="both"/>
        <w:ind w:left="1540"/>
        <w:spacing w:after="0" w:line="255" w:lineRule="auto"/>
        <w:rPr>
          <w:rFonts w:ascii="Arial" w:cs="Arial" w:eastAsia="Arial" w:hAnsi="Arial"/>
          <w:sz w:val="18"/>
          <w:szCs w:val="18"/>
          <w:color w:val="auto"/>
        </w:rPr>
      </w:pPr>
      <w:r>
        <w:rPr>
          <w:rFonts w:ascii="Arial" w:cs="Arial" w:eastAsia="Arial" w:hAnsi="Arial"/>
          <w:sz w:val="18"/>
          <w:szCs w:val="18"/>
          <w:color w:val="auto"/>
        </w:rPr>
        <w:t>The interim condensed consolidated financial statements do not include all the information and disclosures required in the annual financial statements, and should be read in conjunction with the Company's annual financial statements as of December 31, 2018 that were included in the Annual Report on Form 20-F filed on March 25, 2019.</w:t>
      </w:r>
    </w:p>
    <w:p>
      <w:pPr>
        <w:spacing w:after="0" w:line="244" w:lineRule="exact"/>
        <w:rPr>
          <w:rFonts w:ascii="Arial" w:cs="Arial" w:eastAsia="Arial" w:hAnsi="Arial"/>
          <w:sz w:val="18"/>
          <w:szCs w:val="18"/>
          <w:color w:val="auto"/>
        </w:rPr>
      </w:pPr>
    </w:p>
    <w:p>
      <w:pPr>
        <w:jc w:val="both"/>
        <w:ind w:left="1540"/>
        <w:spacing w:after="0" w:line="286" w:lineRule="auto"/>
        <w:rPr>
          <w:rFonts w:ascii="Arial" w:cs="Arial" w:eastAsia="Arial" w:hAnsi="Arial"/>
          <w:sz w:val="18"/>
          <w:szCs w:val="18"/>
          <w:color w:val="auto"/>
        </w:rPr>
      </w:pPr>
      <w:r>
        <w:rPr>
          <w:rFonts w:ascii="Arial" w:cs="Arial" w:eastAsia="Arial" w:hAnsi="Arial"/>
          <w:sz w:val="17"/>
          <w:szCs w:val="17"/>
          <w:color w:val="auto"/>
        </w:rPr>
        <w:t>The accounting policies adopted in the preparation of the interim condensed consolidated financial statements are consistent with those followed in the preparation of the Company’s annual consolidated financial statements for the year ended December 31, 2018 that were included in the Annual Report on Form 20-F filed on March 25, 2019, except than the change discussed below.</w:t>
      </w:r>
    </w:p>
    <w:p>
      <w:pPr>
        <w:spacing w:after="0" w:line="219" w:lineRule="exact"/>
        <w:rPr>
          <w:rFonts w:ascii="Arial" w:cs="Arial" w:eastAsia="Arial" w:hAnsi="Arial"/>
          <w:sz w:val="18"/>
          <w:szCs w:val="18"/>
          <w:color w:val="auto"/>
        </w:rPr>
      </w:pPr>
    </w:p>
    <w:p>
      <w:pPr>
        <w:ind w:left="1520" w:hanging="499"/>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significant accounting policies:</w:t>
      </w:r>
    </w:p>
    <w:p>
      <w:pPr>
        <w:spacing w:after="0" w:line="279"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IFRS 16, "Leases" ("the new Standard") replaces IAS 17, Leases and its related interpretations. The standard's instructions supersede IAS 17 requirement from lessees to classify leases as operating or finance leases. The new standard presents a unified model for the accounting treatment of all leases according to which the lessee has to recognize a right-of-use asset and a lease liability in its financial statements.</w:t>
      </w:r>
    </w:p>
    <w:p>
      <w:pPr>
        <w:spacing w:after="0" w:line="186"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On the inception date of the lease, the Company determines whether the arrangement is a lease or contains a lease, while examining if it conveys the right to control the use of an identified asset for a period of time in exchange for consideration.</w:t>
      </w:r>
    </w:p>
    <w:p>
      <w:pPr>
        <w:spacing w:after="0" w:line="224"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In the event of change in variable lease payments that are CPI-linked, lessees are required to re-measure the lease liability and record the effect of the re-measurement as an adjustment to the carrying amount of the right-of-use asset.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3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297"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The lease term is the non-cancellable period of the lease plus periods covered by an extension or termination option if it is reasonably certain that the lessee will exercise or not exercise the option, respectively.</w:t>
      </w:r>
    </w:p>
    <w:p>
      <w:pPr>
        <w:spacing w:after="0" w:line="224" w:lineRule="exact"/>
        <w:rPr>
          <w:sz w:val="20"/>
          <w:szCs w:val="20"/>
          <w:color w:val="auto"/>
        </w:rPr>
      </w:pPr>
    </w:p>
    <w:p>
      <w:pPr>
        <w:jc w:val="both"/>
        <w:ind w:left="1540"/>
        <w:spacing w:after="0" w:line="264" w:lineRule="auto"/>
        <w:rPr>
          <w:sz w:val="20"/>
          <w:szCs w:val="20"/>
          <w:color w:val="auto"/>
        </w:rPr>
      </w:pPr>
      <w:r>
        <w:rPr>
          <w:rFonts w:ascii="Arial" w:cs="Arial" w:eastAsia="Arial" w:hAnsi="Arial"/>
          <w:sz w:val="18"/>
          <w:szCs w:val="18"/>
          <w:color w:val="auto"/>
        </w:rPr>
        <w:t>The right-of-use asset is subsequently depreciated in a similar way to other assets such as tangible assets, i.e. typically in a straight-line basis over the shorter of the lease term (including the extension option held by the Company and intended to be exercised) and the expected life of the lease.</w:t>
      </w:r>
    </w:p>
    <w:p>
      <w:pPr>
        <w:spacing w:after="0" w:line="181" w:lineRule="exact"/>
        <w:rPr>
          <w:sz w:val="20"/>
          <w:szCs w:val="20"/>
          <w:color w:val="auto"/>
        </w:rPr>
      </w:pPr>
    </w:p>
    <w:p>
      <w:pPr>
        <w:jc w:val="both"/>
        <w:ind w:left="1540"/>
        <w:spacing w:after="0" w:line="264" w:lineRule="auto"/>
        <w:rPr>
          <w:sz w:val="20"/>
          <w:szCs w:val="20"/>
          <w:color w:val="auto"/>
        </w:rPr>
      </w:pPr>
      <w:r>
        <w:rPr>
          <w:rFonts w:ascii="Arial" w:cs="Arial" w:eastAsia="Arial" w:hAnsi="Arial"/>
          <w:sz w:val="18"/>
          <w:szCs w:val="18"/>
          <w:color w:val="auto"/>
        </w:rPr>
        <w:t>Commencing January 1, 2019, the Company implements the Modified retrospective approach of the Standard. As for the measurement of the right-of-use asset, the Company chose to apply the alternative of recognize the asset in an amount equal to the lease liability, with certain adjustments.</w:t>
      </w:r>
    </w:p>
    <w:p>
      <w:pPr>
        <w:spacing w:after="0" w:line="235" w:lineRule="exact"/>
        <w:rPr>
          <w:sz w:val="20"/>
          <w:szCs w:val="20"/>
          <w:color w:val="auto"/>
        </w:rPr>
      </w:pPr>
    </w:p>
    <w:p>
      <w:pPr>
        <w:jc w:val="both"/>
        <w:ind w:left="1540"/>
        <w:spacing w:after="0" w:line="257" w:lineRule="auto"/>
        <w:rPr>
          <w:sz w:val="20"/>
          <w:szCs w:val="20"/>
          <w:color w:val="auto"/>
        </w:rPr>
      </w:pPr>
      <w:r>
        <w:rPr>
          <w:rFonts w:ascii="Arial" w:cs="Arial" w:eastAsia="Arial" w:hAnsi="Arial"/>
          <w:sz w:val="18"/>
          <w:szCs w:val="18"/>
          <w:color w:val="auto"/>
        </w:rPr>
        <w:t>At the initial application date, the Company recognized a lease liability in the amount of about $2,522 million under Long term debt and current maturity, according to the present value of the future lease payments discounted using the Company's incremental interest rate at that date, and concurrently recognized a right-of-use asset in the same amount with certain adjustments. The Company's incremental interest rates used for measuring the lease liability are in the range of 0.1% to 6.7%. Depreciation is calculated on a straight-line basis over the remaining contractual lease period.</w:t>
      </w:r>
    </w:p>
    <w:p>
      <w:pPr>
        <w:spacing w:after="0" w:line="188" w:lineRule="exact"/>
        <w:rPr>
          <w:sz w:val="20"/>
          <w:szCs w:val="20"/>
          <w:color w:val="auto"/>
        </w:rPr>
      </w:pPr>
    </w:p>
    <w:p>
      <w:pPr>
        <w:jc w:val="both"/>
        <w:ind w:left="1540"/>
        <w:spacing w:after="0" w:line="264" w:lineRule="auto"/>
        <w:rPr>
          <w:sz w:val="20"/>
          <w:szCs w:val="20"/>
          <w:color w:val="auto"/>
        </w:rPr>
      </w:pPr>
      <w:r>
        <w:rPr>
          <w:rFonts w:ascii="Arial" w:cs="Arial" w:eastAsia="Arial" w:hAnsi="Arial"/>
          <w:sz w:val="18"/>
          <w:szCs w:val="18"/>
          <w:color w:val="auto"/>
        </w:rPr>
        <w:t>In the first quarter of 2019, the Company recognized depreciation expenses in the amount of $139 in respect of amortization of the right-of-use asset and $30 finance expenses in respect of the lease liability, in place of the lease expenses in the amount of $155 which would have been recorded according to the previous standard.</w:t>
      </w:r>
    </w:p>
    <w:p>
      <w:pPr>
        <w:spacing w:after="0" w:line="235" w:lineRule="exact"/>
        <w:rPr>
          <w:sz w:val="20"/>
          <w:szCs w:val="20"/>
          <w:color w:val="auto"/>
        </w:rPr>
      </w:pPr>
    </w:p>
    <w:p>
      <w:pPr>
        <w:ind w:left="1520" w:hanging="499"/>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Reclassification:</w:t>
      </w:r>
    </w:p>
    <w:p>
      <w:pPr>
        <w:spacing w:after="0" w:line="225" w:lineRule="exact"/>
        <w:rPr>
          <w:rFonts w:ascii="Arial" w:cs="Arial" w:eastAsia="Arial" w:hAnsi="Arial"/>
          <w:sz w:val="18"/>
          <w:szCs w:val="18"/>
          <w:color w:val="auto"/>
        </w:rPr>
      </w:pPr>
    </w:p>
    <w:p>
      <w:pPr>
        <w:ind w:left="1520"/>
        <w:spacing w:after="0" w:line="277" w:lineRule="auto"/>
        <w:rPr>
          <w:rFonts w:ascii="Arial" w:cs="Arial" w:eastAsia="Arial" w:hAnsi="Arial"/>
          <w:sz w:val="18"/>
          <w:szCs w:val="18"/>
          <w:color w:val="auto"/>
        </w:rPr>
      </w:pPr>
      <w:r>
        <w:rPr>
          <w:rFonts w:ascii="Arial" w:cs="Arial" w:eastAsia="Arial" w:hAnsi="Arial"/>
          <w:sz w:val="18"/>
          <w:szCs w:val="18"/>
          <w:color w:val="auto"/>
        </w:rPr>
        <w:t>Certain amounts previously reported in the consolidated financial statements have been reclassified to conform to current year presentation. Such reclassifications did not affect net loss, shareholders’ equity or cash flows.</w:t>
      </w:r>
    </w:p>
    <w:p>
      <w:pPr>
        <w:spacing w:after="0" w:line="26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3</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CONTINGENT LIABILITIES AND COMMITMENTS</w:t>
      </w:r>
    </w:p>
    <w:p>
      <w:pPr>
        <w:spacing w:after="0" w:line="297" w:lineRule="exact"/>
        <w:rPr>
          <w:sz w:val="20"/>
          <w:szCs w:val="20"/>
          <w:color w:val="auto"/>
        </w:rPr>
      </w:pPr>
    </w:p>
    <w:p>
      <w:pPr>
        <w:jc w:val="both"/>
        <w:ind w:left="1500" w:hanging="479"/>
        <w:spacing w:after="0" w:line="279" w:lineRule="auto"/>
        <w:tabs>
          <w:tab w:leader="none" w:pos="1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September 15, 2014, a Statement of Claim was filed against the Company by some shareholders of Polyheal (the "Plaintiffs"). The Plaintiffs allege that the Company is obligated to pay them a total amount of $1,475 in exchange for their respective portion of PolyHeal's shares, following the commencement of a feasibility study for the next generation of the PolyHeal Product in November 15, 2012, which constituted a milestone under a buyout option agreement between the Company, PolyHeal and its shareholders.</w:t>
      </w:r>
    </w:p>
    <w:p>
      <w:pPr>
        <w:spacing w:after="0" w:line="171" w:lineRule="exact"/>
        <w:rPr>
          <w:rFonts w:ascii="Arial" w:cs="Arial" w:eastAsia="Arial" w:hAnsi="Arial"/>
          <w:sz w:val="17"/>
          <w:szCs w:val="17"/>
          <w:color w:val="auto"/>
        </w:rPr>
      </w:pPr>
    </w:p>
    <w:p>
      <w:pPr>
        <w:jc w:val="both"/>
        <w:ind w:left="1500"/>
        <w:spacing w:after="0" w:line="254" w:lineRule="auto"/>
        <w:rPr>
          <w:rFonts w:ascii="Arial" w:cs="Arial" w:eastAsia="Arial" w:hAnsi="Arial"/>
          <w:sz w:val="17"/>
          <w:szCs w:val="17"/>
          <w:color w:val="auto"/>
        </w:rPr>
      </w:pPr>
      <w:r>
        <w:rPr>
          <w:rFonts w:ascii="Arial" w:cs="Arial" w:eastAsia="Arial" w:hAnsi="Arial"/>
          <w:sz w:val="18"/>
          <w:szCs w:val="18"/>
          <w:color w:val="auto"/>
        </w:rPr>
        <w:t>On March 24, 2019, the Company entered into a settlement agreement and mutual general release with the Plaintiffs (the "Polyheal Settlement Agreement"), which settles any and all debts, obligations or liabilities that the Plaintiffs and MediWound had, has or may have to the other party in connection with the agreements among MediWound, Teva, PolyHeal, the Plaintiffs and other shareholders of PolyHeal.</w:t>
      </w:r>
    </w:p>
    <w:p>
      <w:pPr>
        <w:spacing w:after="0" w:line="2" w:lineRule="exact"/>
        <w:rPr>
          <w:rFonts w:ascii="Arial" w:cs="Arial" w:eastAsia="Arial" w:hAnsi="Arial"/>
          <w:sz w:val="17"/>
          <w:szCs w:val="17"/>
          <w:color w:val="auto"/>
        </w:rPr>
      </w:pPr>
    </w:p>
    <w:p>
      <w:pPr>
        <w:jc w:val="both"/>
        <w:ind w:left="1500"/>
        <w:spacing w:after="0" w:line="277" w:lineRule="auto"/>
        <w:rPr>
          <w:rFonts w:ascii="Arial" w:cs="Arial" w:eastAsia="Arial" w:hAnsi="Arial"/>
          <w:sz w:val="17"/>
          <w:szCs w:val="17"/>
          <w:color w:val="auto"/>
        </w:rPr>
      </w:pPr>
      <w:r>
        <w:rPr>
          <w:rFonts w:ascii="Arial" w:cs="Arial" w:eastAsia="Arial" w:hAnsi="Arial"/>
          <w:sz w:val="17"/>
          <w:szCs w:val="17"/>
          <w:color w:val="auto"/>
        </w:rPr>
        <w:t>Pursuant to the terms of Polyheal Settlement Agreement, the Plaintiffs repaid to MediWound a portion of the amount that was ruled in their favor under the Tel Aviv District Court Ruling, and it resulted in the acceptance of the Company’s appeal that was filed on December, 2017, and the cancellation of the 2017 Ruling that was issued by the District Court against MediWound.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3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3</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CONTINGENT LIABILITIES AND COMMITMENTS (Cont.)</w:t>
      </w:r>
    </w:p>
    <w:p>
      <w:pPr>
        <w:spacing w:after="0" w:line="297" w:lineRule="exact"/>
        <w:rPr>
          <w:sz w:val="20"/>
          <w:szCs w:val="20"/>
          <w:color w:val="auto"/>
        </w:rPr>
      </w:pPr>
    </w:p>
    <w:p>
      <w:pPr>
        <w:jc w:val="both"/>
        <w:ind w:left="1500" w:hanging="479"/>
        <w:spacing w:after="0" w:line="285" w:lineRule="auto"/>
        <w:tabs>
          <w:tab w:leader="none" w:pos="1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Beginning in 2007, the Company entered into a number of agreements with Teva Pharmaceutical Industries Limited (“Teva”) related to collaboration in the development, manufacturing and commercialization of solutions for the burn and chronic wound care markets. In consideration for these agreements, Teva made investments in the Company's ordinary shares and agreed to fund certain research and development expenses and manufacturing costs and perform all marketing activities for both NexoBrid, under the 2007 Teva Agreement, and the PolyHeal Product, under the 2010 PolyHeal Agreements. As of December 31, 2012, all of these agreements were terminated.</w:t>
      </w:r>
    </w:p>
    <w:p>
      <w:pPr>
        <w:spacing w:after="0" w:line="2" w:lineRule="exact"/>
        <w:rPr>
          <w:rFonts w:ascii="Arial" w:cs="Arial" w:eastAsia="Arial" w:hAnsi="Arial"/>
          <w:sz w:val="16"/>
          <w:szCs w:val="16"/>
          <w:color w:val="auto"/>
        </w:rPr>
      </w:pPr>
    </w:p>
    <w:p>
      <w:pPr>
        <w:jc w:val="both"/>
        <w:ind w:left="1500"/>
        <w:spacing w:after="0" w:line="250" w:lineRule="auto"/>
        <w:rPr>
          <w:rFonts w:ascii="Arial" w:cs="Arial" w:eastAsia="Arial" w:hAnsi="Arial"/>
          <w:sz w:val="16"/>
          <w:szCs w:val="16"/>
          <w:color w:val="auto"/>
        </w:rPr>
      </w:pPr>
      <w:r>
        <w:rPr>
          <w:rFonts w:ascii="Arial" w:cs="Arial" w:eastAsia="Arial" w:hAnsi="Arial"/>
          <w:sz w:val="18"/>
          <w:szCs w:val="18"/>
          <w:color w:val="auto"/>
        </w:rPr>
        <w:t>On March 24, 2019, the Company entered into a settlement agreement and mutual general release with Teva (the “Teva Settlement Agreement”), which settles any and all debts, obligations or liabilities that each party or any of its controlled affiliates had or has to the other party or any of its controlled affiliates under, in connection with or arising out of certain transactions and agreements entered into between Teva and the Company from 2007 to 2012 (collectively, the “Collaboration Agreements”), which have terminated effective as of December 31, 2012 and September 2, 2013, as applicable, and which related to the Company's product, NexoBrid, and to PolyHeal Ltd. product, PolyHeal.</w:t>
      </w:r>
    </w:p>
    <w:p>
      <w:pPr>
        <w:spacing w:after="0" w:line="2" w:lineRule="exact"/>
        <w:rPr>
          <w:rFonts w:ascii="Arial" w:cs="Arial" w:eastAsia="Arial" w:hAnsi="Arial"/>
          <w:sz w:val="16"/>
          <w:szCs w:val="16"/>
          <w:color w:val="auto"/>
        </w:rPr>
      </w:pPr>
    </w:p>
    <w:p>
      <w:pPr>
        <w:ind w:left="1500"/>
        <w:spacing w:after="0" w:line="250" w:lineRule="auto"/>
        <w:rPr>
          <w:rFonts w:ascii="Arial" w:cs="Arial" w:eastAsia="Arial" w:hAnsi="Arial"/>
          <w:sz w:val="16"/>
          <w:szCs w:val="16"/>
          <w:color w:val="auto"/>
        </w:rPr>
      </w:pPr>
      <w:r>
        <w:rPr>
          <w:rFonts w:ascii="Arial" w:cs="Arial" w:eastAsia="Arial" w:hAnsi="Arial"/>
          <w:sz w:val="18"/>
          <w:szCs w:val="18"/>
          <w:color w:val="auto"/>
        </w:rPr>
        <w:t>During the recent years, the Company has been engaged in discussions with Teva regarding payments the Company believes Teva was obligated to make to the Company pursuant to these Collaboration Agreements.</w:t>
      </w:r>
    </w:p>
    <w:p>
      <w:pPr>
        <w:jc w:val="both"/>
        <w:ind w:left="1500"/>
        <w:spacing w:after="0" w:line="265" w:lineRule="auto"/>
        <w:rPr>
          <w:rFonts w:ascii="Arial" w:cs="Arial" w:eastAsia="Arial" w:hAnsi="Arial"/>
          <w:sz w:val="16"/>
          <w:szCs w:val="16"/>
          <w:color w:val="auto"/>
        </w:rPr>
      </w:pPr>
      <w:r>
        <w:rPr>
          <w:rFonts w:ascii="Arial" w:cs="Arial" w:eastAsia="Arial" w:hAnsi="Arial"/>
          <w:sz w:val="17"/>
          <w:szCs w:val="17"/>
          <w:color w:val="auto"/>
        </w:rPr>
        <w:t>Pursuant to the terms of the Teva Settlement Agreement, Teva has agreed to pay the Company $ 4,000 in cash, and to reduce the contingent consideration that is payable to Teva pursuant to the Company's repurchase of its shares from Teva in 2013, so that the Company will be obligated to pay Teva annual payments at a reduced rate of 15% of its recognized revenues from the sale or license of NexoBrid after January 1, 2019, up to a reduced aggregate amount of $10,200. As a result of Teva Settlement Agreement, a one-time net income from settlement agreement of $7,537 was recorded as other income and a one-time income of $4,608 was recorded within the profit from discontinued operation in the fourth quarter and the year ending December 31, 2018.</w:t>
      </w:r>
    </w:p>
    <w:p>
      <w:pPr>
        <w:spacing w:after="0" w:line="1" w:lineRule="exact"/>
        <w:rPr>
          <w:rFonts w:ascii="Arial" w:cs="Arial" w:eastAsia="Arial" w:hAnsi="Arial"/>
          <w:sz w:val="16"/>
          <w:szCs w:val="16"/>
          <w:color w:val="auto"/>
        </w:rPr>
      </w:pPr>
    </w:p>
    <w:p>
      <w:pPr>
        <w:jc w:val="both"/>
        <w:ind w:left="1500"/>
        <w:spacing w:after="0" w:line="302" w:lineRule="auto"/>
        <w:rPr>
          <w:rFonts w:ascii="Arial" w:cs="Arial" w:eastAsia="Arial" w:hAnsi="Arial"/>
          <w:sz w:val="16"/>
          <w:szCs w:val="16"/>
          <w:color w:val="auto"/>
        </w:rPr>
      </w:pPr>
      <w:r>
        <w:rPr>
          <w:rFonts w:ascii="Arial" w:cs="Arial" w:eastAsia="Arial" w:hAnsi="Arial"/>
          <w:sz w:val="16"/>
          <w:szCs w:val="16"/>
          <w:color w:val="auto"/>
        </w:rPr>
        <w:t>In addition, the Company also agreed to indemnify, defend and hold harmless Teva and its directors, officers, agents and employees from and against claims relating to a certain milestone related to PolyHeal under an agreement associated with the Collaboration Agreements, up to an amount of $10,200, if a notice of such claim has been received by the Company prior to December 31, 2023.</w:t>
      </w:r>
    </w:p>
    <w:p>
      <w:pPr>
        <w:spacing w:after="0" w:line="19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EQUITY</w:t>
      </w:r>
    </w:p>
    <w:p>
      <w:pPr>
        <w:spacing w:after="0" w:line="297"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On March 24, 2019, the Company granted to its incoming CEO and chairman of the board 60,000 options to purchase ordinary shares, for an exercise price of $ 4.92 per share, and 40,000 RSU's, under the "2014 Share Incentive Plan". The options are exercisable in accordance with the terms of the plan and will vest over three-four years. The fair value of the options and RSU's granted, as of the grant date, was estimated at approximately $164 and $156, respectively.</w:t>
      </w:r>
    </w:p>
    <w:p>
      <w:pPr>
        <w:spacing w:after="0" w:line="24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 May 2, 2019, the general meeting of the Company approved the abovementioned grants.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3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SUBSEQUENT EVENTS</w:t>
      </w:r>
    </w:p>
    <w:p>
      <w:pPr>
        <w:spacing w:after="0" w:line="297" w:lineRule="exact"/>
        <w:rPr>
          <w:sz w:val="20"/>
          <w:szCs w:val="20"/>
          <w:color w:val="auto"/>
        </w:rPr>
      </w:pPr>
    </w:p>
    <w:p>
      <w:pPr>
        <w:jc w:val="both"/>
        <w:ind w:left="980"/>
        <w:spacing w:after="0" w:line="258" w:lineRule="auto"/>
        <w:rPr>
          <w:sz w:val="20"/>
          <w:szCs w:val="20"/>
          <w:color w:val="auto"/>
        </w:rPr>
      </w:pPr>
      <w:r>
        <w:rPr>
          <w:rFonts w:ascii="Arial" w:cs="Arial" w:eastAsia="Arial" w:hAnsi="Arial"/>
          <w:sz w:val="18"/>
          <w:szCs w:val="18"/>
          <w:color w:val="auto"/>
        </w:rPr>
        <w:t>On May 5, 2019, the Company entered into exclusive license and supply agreements with Vericel Corporation (“Vericel”) to commercialize NexoBrid in all countries of North America (the “Collaboration Agreements”).</w:t>
      </w:r>
    </w:p>
    <w:p>
      <w:pPr>
        <w:spacing w:after="0" w:line="1" w:lineRule="exact"/>
        <w:rPr>
          <w:sz w:val="20"/>
          <w:szCs w:val="20"/>
          <w:color w:val="auto"/>
        </w:rPr>
      </w:pPr>
    </w:p>
    <w:p>
      <w:pPr>
        <w:jc w:val="both"/>
        <w:ind w:left="980"/>
        <w:spacing w:after="0" w:line="254" w:lineRule="auto"/>
        <w:rPr>
          <w:sz w:val="20"/>
          <w:szCs w:val="20"/>
          <w:color w:val="auto"/>
        </w:rPr>
      </w:pPr>
      <w:r>
        <w:rPr>
          <w:rFonts w:ascii="Arial" w:cs="Arial" w:eastAsia="Arial" w:hAnsi="Arial"/>
          <w:sz w:val="18"/>
          <w:szCs w:val="18"/>
          <w:color w:val="auto"/>
        </w:rPr>
        <w:t>Pursuant to the Collaboration Agreements, the Company will be responsible for the Development of the product through BLA approval, supported and funded by BARDA, as well as the manufacture and supply of NexoBrid. Vericel will have exclusive control regarding the commercialization of licensed product in North America while MediWound retains the commercial rights to NexoBrid in all non-North American territories.</w:t>
      </w:r>
    </w:p>
    <w:p>
      <w:pPr>
        <w:spacing w:after="0" w:line="244" w:lineRule="exact"/>
        <w:rPr>
          <w:sz w:val="20"/>
          <w:szCs w:val="20"/>
          <w:color w:val="auto"/>
        </w:rPr>
      </w:pPr>
    </w:p>
    <w:p>
      <w:pPr>
        <w:jc w:val="both"/>
        <w:ind w:left="980"/>
        <w:spacing w:after="0" w:line="274" w:lineRule="auto"/>
        <w:rPr>
          <w:sz w:val="20"/>
          <w:szCs w:val="20"/>
          <w:color w:val="auto"/>
        </w:rPr>
      </w:pPr>
      <w:r>
        <w:rPr>
          <w:rFonts w:ascii="Arial" w:cs="Arial" w:eastAsia="Arial" w:hAnsi="Arial"/>
          <w:sz w:val="17"/>
          <w:szCs w:val="17"/>
          <w:color w:val="auto"/>
        </w:rPr>
        <w:t>Under the terms of the license agreement, Vericel has agreed to make an upfront payment to MediWound of $17.5 million, with an additional $7.5 million payment contingent upon U.S. approval and up to $125 million in payments contingent upon meeting certain annual</w:t>
      </w:r>
    </w:p>
    <w:p>
      <w:pPr>
        <w:jc w:val="both"/>
        <w:ind w:left="980"/>
        <w:spacing w:after="0" w:line="250" w:lineRule="auto"/>
        <w:rPr>
          <w:sz w:val="20"/>
          <w:szCs w:val="20"/>
          <w:color w:val="auto"/>
        </w:rPr>
      </w:pPr>
      <w:r>
        <w:rPr>
          <w:rFonts w:ascii="Arial" w:cs="Arial" w:eastAsia="Arial" w:hAnsi="Arial"/>
          <w:sz w:val="18"/>
          <w:szCs w:val="18"/>
          <w:color w:val="auto"/>
        </w:rPr>
        <w:t>sales milestones. Vericel has also agreed to pay MediWound tiered royalties on net sales ranging from high single-digit to low double-digit percentages, and a split of gross profit on committed BARDA procurement orders and a double-digits royalty on any additional future BARDA purchases of NexoBrid. Under the terms of the supply agreement, Vericel will procure NexoBrid from MediWound at a transfer price of cost plus a fixed margin percentage.</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continues to evaluate the accounting implications of this transaction.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2019-12-02T17:56:39Z</dcterms:created>
  <dcterms:modified xsi:type="dcterms:W3CDTF">2019-12-02T17:56:39Z</dcterms:modified>
</cp:coreProperties>
</file>