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Rubinstein Samuel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MEDIWOUND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 HAYARKON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YAVNE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8122745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MediWound Ltd.</w:t>
              </w:r>
            </w:hyperlink>
            <w:r>
              <w:rPr/>
              <w:t xml:space="preserve"> [ </w:t>
            </w:r>
            <w:r>
              <w:rPr>
                <w:rFonts w:ascii="Times;serif" w:hAnsi="Times;serif"/>
                <w:color w:val="0000FF"/>
                <w:sz w:val="24"/>
                <w:shd w:fill="FFFFFF" w:val="clear"/>
              </w:rPr>
              <w:t>MDWD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14"/>
        <w:gridCol w:w="462"/>
        <w:gridCol w:w="759"/>
        <w:gridCol w:w="1176"/>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2,993</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(1)(2)</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12.72</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12.62</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72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681"/>
        <w:gridCol w:w="801"/>
        <w:gridCol w:w="936"/>
        <w:gridCol w:w="831"/>
        <w:gridCol w:w="846"/>
      </w:tblGrid>
      <w:tr>
        <w:trPr>
          <w:tblHeader w:val="true"/>
        </w:trPr>
        <w:tc>
          <w:tcPr>
            <w:tcW w:w="117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9.64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12.729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18.54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02/11/2035</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in this row consist of shares underlying RSUs that were granted to the Reporting Person on March 4, 2026 and vest 100% on the one-year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reported in this row were granted to the Reporting Person on March 4, 2026 and vest 100% on the one-year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Issuer is a foreign private issuer as defined under Rule 3b-4 under the Securities Exchange Act of 1934, as amended (the "Exchange Act"). In accordance with Rule 3a12-3(b) under the Exchange Act, the Reporting Person is exempt from the short-swing profit recovery provisions of Section 16(b)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Yaron 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bidi w:val="0"/>
        <w:jc w:val="left"/>
        <w:rPr/>
      </w:pPr>
      <w:r>
        <w:rPr/>
      </w:r>
      <w:bookmarkStart w:id="2" w:name="exhibit_24-1.htm"/>
      <w:bookmarkStart w:id="3" w:name="ksexhibit_241"/>
      <w:bookmarkStart w:id="4" w:name="exhibit_24-1.htm"/>
      <w:bookmarkStart w:id="5" w:name="ksexhibit_241"/>
      <w:bookmarkEnd w:id="4"/>
      <w:bookmarkEnd w:id="5"/>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24.1</w:t>
      </w:r>
    </w:p>
    <w:p>
      <w:pPr>
        <w:pStyle w:val="TextBody"/>
        <w:bidi w:val="0"/>
        <w:spacing w:lineRule="auto" w:line="300" w:before="0" w:after="0"/>
        <w:jc w:val="left"/>
        <w:rPr>
          <w:rFonts w:ascii="Times New Roman;Times;serif" w:hAnsi="Times New Roman;Times;serif"/>
          <w:b w:val="false"/>
        </w:rPr>
      </w:pPr>
      <w:r>
        <w:rPr>
          <w:rFonts w:ascii="Times New Roman;Times;serif" w:hAnsi="Times New Roman;Times;serif"/>
          <w:b w:val="false"/>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Know all by these presents, that the undersigned hereby constitutes and appoints Yaron Meyer, Executive Vice President, General Counsel &amp; Corporate Secretary of MediWound Ltd. (the “</w:t>
      </w:r>
      <w:r>
        <w:rPr>
          <w:rFonts w:ascii="Times New Roman;Times;serif" w:hAnsi="Times New Roman;Times;serif"/>
          <w:b/>
          <w:color w:val="000000"/>
          <w:sz w:val="20"/>
        </w:rPr>
        <w:t>Company</w:t>
      </w:r>
      <w:r>
        <w:rPr>
          <w:rFonts w:ascii="Times New Roman;Times;serif" w:hAnsi="Times New Roman;Times;serif"/>
          <w:color w:val="000000"/>
          <w:sz w:val="20"/>
        </w:rPr>
        <w:t>”), with full power of substitution, signing individually, the undersigned’s true and lawful attorney-in fact and agent to:</w:t>
      </w:r>
    </w:p>
    <w:p>
      <w:pPr>
        <w:pStyle w:val="TextBody"/>
        <w:bidi w:val="0"/>
        <w:spacing w:lineRule="auto" w:line="300" w:before="0" w:after="0"/>
        <w:ind w:left="0" w:right="0" w:firstLine="72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1.       Prepare, execute in the undersigned’s name and on the undersigned’s behalf, and submit to the Securities and Exchange Commission (the “</w:t>
      </w:r>
      <w:r>
        <w:rPr>
          <w:rFonts w:ascii="Times New Roman;Times;serif" w:hAnsi="Times New Roman;Times;serif"/>
          <w:b/>
          <w:color w:val="000000"/>
          <w:sz w:val="20"/>
        </w:rPr>
        <w:t>SEC</w:t>
      </w:r>
      <w:r>
        <w:rPr>
          <w:rFonts w:ascii="Times New Roman;Times;serif" w:hAnsi="Times New Roman;Times;serif"/>
          <w:color w:val="000000"/>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color w:val="000000"/>
          <w:sz w:val="20"/>
        </w:rPr>
        <w:t>Exchange Act</w:t>
      </w:r>
      <w:r>
        <w:rPr>
          <w:rFonts w:ascii="Times New Roman;Times;serif" w:hAnsi="Times New Roman;Times;serif"/>
          <w:color w:val="000000"/>
          <w:sz w:val="20"/>
        </w:rPr>
        <w:t>”) in the undersigned’s capacity as an officer, director or beneficial owner of more than 10% of a registered class of securities of the Company;</w:t>
      </w:r>
    </w:p>
    <w:p>
      <w:pPr>
        <w:pStyle w:val="TextBody"/>
        <w:bidi w:val="0"/>
        <w:spacing w:lineRule="auto" w:line="300" w:before="0" w:after="0"/>
        <w:ind w:left="0" w:right="0" w:firstLine="72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3.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lineRule="auto" w:line="300" w:before="0" w:after="0"/>
        <w:ind w:left="0" w:right="0" w:firstLine="72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4.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300" w:before="0" w:after="0"/>
        <w:ind w:left="0" w:right="0" w:firstLine="72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lineRule="auto" w:line="300" w:before="0" w:after="0"/>
        <w:ind w:left="0" w:right="0" w:firstLine="72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WITNESS WHEREOF, the undersigned has caused this Power of Attorney to be executed as of this 18th day of March, 2026.</w:t>
      </w:r>
    </w:p>
    <w:p>
      <w:pPr>
        <w:pStyle w:val="TextBody"/>
        <w:bidi w:val="0"/>
        <w:spacing w:lineRule="auto" w:line="300" w:before="0" w:after="0"/>
        <w:ind w:left="0" w:right="0" w:firstLine="720"/>
        <w:jc w:val="left"/>
        <w:rPr>
          <w:color w:val="000000"/>
        </w:rPr>
      </w:pPr>
      <w:r>
        <w:rPr>
          <w:color w:val="000000"/>
        </w:rPr>
        <w:t> </w:t>
      </w:r>
    </w:p>
    <w:p>
      <w:pPr>
        <w:pStyle w:val="Normal"/>
        <w:bidi w:val="0"/>
        <w:spacing w:before="0" w:after="0"/>
        <w:jc w:val="left"/>
        <w:rPr>
          <w:sz w:val="4"/>
          <w:szCs w:val="4"/>
        </w:rPr>
      </w:pPr>
      <w:r>
        <w:rPr>
          <w:sz w:val="4"/>
          <w:szCs w:val="4"/>
        </w:rPr>
      </w:r>
      <w:bookmarkStart w:id="6" w:name="zcc97fbac718a49ddaea22c8bb15285cd"/>
      <w:bookmarkStart w:id="7" w:name="zcc97fbac718a49ddaea22c8bb15285cd"/>
      <w:bookmarkEnd w:id="7"/>
    </w:p>
    <w:tbl>
      <w:tblPr>
        <w:tblW w:w="2860" w:type="dxa"/>
        <w:jc w:val="left"/>
        <w:tblInd w:w="0" w:type="dxa"/>
        <w:tblLayout w:type="fixed"/>
        <w:tblCellMar>
          <w:top w:w="0" w:type="dxa"/>
          <w:left w:w="0" w:type="dxa"/>
          <w:bottom w:w="0" w:type="dxa"/>
          <w:right w:w="0" w:type="dxa"/>
        </w:tblCellMar>
      </w:tblPr>
      <w:tblGrid>
        <w:gridCol w:w="60"/>
        <w:gridCol w:w="650"/>
        <w:gridCol w:w="2090"/>
        <w:gridCol w:w="60"/>
      </w:tblGrid>
      <w:tr>
        <w:trPr/>
        <w:tc>
          <w:tcPr>
            <w:tcW w:w="60" w:type="dxa"/>
            <w:tcBorders/>
            <w:vAlign w:val="center"/>
          </w:tcPr>
          <w:p>
            <w:pPr>
              <w:pStyle w:val="TableContents"/>
              <w:bidi w:val="0"/>
              <w:spacing w:lineRule="auto" w:line="300" w:before="0" w:after="0"/>
              <w:jc w:val="left"/>
              <w:rPr/>
            </w:pPr>
            <w:r>
              <w:rPr/>
              <w:t> </w:t>
            </w:r>
          </w:p>
        </w:tc>
        <w:tc>
          <w:tcPr>
            <w:tcW w:w="650" w:type="dxa"/>
            <w:tcBorders/>
            <w:vAlign w:val="center"/>
          </w:tcPr>
          <w:p>
            <w:pPr>
              <w:pStyle w:val="TableContents"/>
              <w:bidi w:val="0"/>
              <w:spacing w:lineRule="auto" w:line="300" w:before="0" w:after="0"/>
              <w:jc w:val="left"/>
              <w:rPr/>
            </w:pPr>
            <w:r>
              <w:rPr/>
              <w:t>By:</w:t>
            </w:r>
          </w:p>
        </w:tc>
        <w:tc>
          <w:tcPr>
            <w:tcW w:w="2090" w:type="dxa"/>
            <w:tcBorders>
              <w:bottom w:val="single" w:sz="12" w:space="0" w:color="000000"/>
            </w:tcBorders>
            <w:tcMar>
              <w:bottom w:w="28" w:type="dxa"/>
            </w:tcMar>
            <w:vAlign w:val="center"/>
          </w:tcPr>
          <w:p>
            <w:pPr>
              <w:pStyle w:val="TableContents"/>
              <w:bidi w:val="0"/>
              <w:spacing w:lineRule="auto" w:line="300" w:before="0" w:after="0"/>
              <w:jc w:val="left"/>
              <w:rPr/>
            </w:pPr>
            <w:r>
              <w:rPr/>
              <w:t>/s/ Shmuel Rubinstein</w:t>
            </w:r>
          </w:p>
        </w:tc>
        <w:tc>
          <w:tcPr>
            <w:tcW w:w="60" w:type="dxa"/>
            <w:tcBorders/>
            <w:vAlign w:val="center"/>
          </w:tcPr>
          <w:p>
            <w:pPr>
              <w:pStyle w:val="TableContents"/>
              <w:bidi w:val="0"/>
              <w:spacing w:lineRule="auto" w:line="300" w:before="0" w:after="0"/>
              <w:jc w:val="left"/>
              <w:rPr/>
            </w:pPr>
            <w:r>
              <w:rPr/>
              <w:t> </w:t>
            </w:r>
          </w:p>
        </w:tc>
      </w:tr>
      <w:tr>
        <w:trPr/>
        <w:tc>
          <w:tcPr>
            <w:tcW w:w="60" w:type="dxa"/>
            <w:tcBorders/>
            <w:vAlign w:val="center"/>
          </w:tcPr>
          <w:p>
            <w:pPr>
              <w:pStyle w:val="TableContents"/>
              <w:bidi w:val="0"/>
              <w:spacing w:lineRule="auto" w:line="300" w:before="0" w:after="0"/>
              <w:jc w:val="left"/>
              <w:rPr/>
            </w:pPr>
            <w:r>
              <w:rPr/>
              <w:t> </w:t>
            </w:r>
          </w:p>
        </w:tc>
        <w:tc>
          <w:tcPr>
            <w:tcW w:w="650" w:type="dxa"/>
            <w:tcBorders/>
            <w:vAlign w:val="center"/>
          </w:tcPr>
          <w:p>
            <w:pPr>
              <w:pStyle w:val="TableContents"/>
              <w:bidi w:val="0"/>
              <w:spacing w:lineRule="auto" w:line="300" w:before="0" w:after="0"/>
              <w:jc w:val="left"/>
              <w:rPr/>
            </w:pPr>
            <w:r>
              <w:rPr/>
              <w:t>Name:</w:t>
            </w:r>
          </w:p>
        </w:tc>
        <w:tc>
          <w:tcPr>
            <w:tcW w:w="2090" w:type="dxa"/>
            <w:tcBorders/>
            <w:vAlign w:val="center"/>
          </w:tcPr>
          <w:p>
            <w:pPr>
              <w:pStyle w:val="TableContents"/>
              <w:bidi w:val="0"/>
              <w:spacing w:lineRule="auto" w:line="300" w:before="0" w:after="0"/>
              <w:jc w:val="left"/>
              <w:rPr/>
            </w:pPr>
            <w:r>
              <w:rPr/>
              <w:t>Shmuel Rubinstein</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2152" TargetMode="External"/><Relationship Id="rId5" Type="http://schemas.openxmlformats.org/officeDocument/2006/relationships/hyperlink" Target="http://www.sec.gov/cgi-bin/browse-edgar?action=getcompany&amp;CIK=0001593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1304</Words>
  <Characters>6929</Characters>
  <CharactersWithSpaces>8131</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