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4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23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5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001-36349</w:t>
      </w:r>
    </w:p>
    <w:p>
      <w:pPr>
        <w:spacing w:after="0" w:line="23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9"/>
          <w:szCs w:val="29"/>
          <w:b w:val="1"/>
          <w:bCs w:val="1"/>
          <w:u w:val="single" w:color="auto"/>
          <w:color w:val="auto"/>
        </w:rPr>
        <w:t>MediWound Ltd.</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42 Hayarkon Street</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Yavne, 8122745 Israel</w:t>
      </w:r>
    </w:p>
    <w:p>
      <w:pPr>
        <w:spacing w:after="0" w:line="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223" w:lineRule="exact"/>
        <w:rPr>
          <w:sz w:val="24"/>
          <w:szCs w:val="24"/>
          <w:color w:val="auto"/>
        </w:rPr>
      </w:pPr>
    </w:p>
    <w:p>
      <w:pPr>
        <w:ind w:left="3860"/>
        <w:spacing w:after="0" w:line="207" w:lineRule="exact"/>
        <w:tabs>
          <w:tab w:leader="none" w:pos="50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73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May 27, 2026, MediWound Ltd. (the “Company”) issued a press release entitled “MediWound Reports First Quarter 2026 Financial Results and Provides Corporate Update”. A copy of this press release is attached to this Form 6-K as Exhibit 99.1.</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contents of this Report of Foreign Private Issuer on Form 6-K (including the information contained in Exhibit 99.1, but excluding quotes of senior management of the Company) are hereby incorporated by reference into the Company’s Registration Statements on (i) Form S-8, filed with the Securities and Exchange Commission (the “SEC”) on April 28, 2014, March 24, 2016, March 19, 2018, March 25, 2019, February 25, 2020, May 5, 2021, August 9, 2022, August 15, 2023, March 19, 2025 and March 5, 2026 (Registration Nos. 333-195517, 333-210375, 333-223767, 333-230487, 333-236635, 333-255784, 333-266697, 333-273997, 333-285897, and 333-294055, respectively), and (ii) Form F-3, filed with the SEC on March 31, 2023, August 29, 2024 and March 19, 2025 (Registration Nos. 333-268297, 333-281843 and 333-285908,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MEDIWOUND LTD.</w:t>
            </w:r>
          </w:p>
        </w:tc>
      </w:tr>
      <w:tr>
        <w:trPr>
          <w:trHeight w:val="40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70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/s/ Hani Luxenburg</w:t>
            </w:r>
          </w:p>
        </w:tc>
      </w:tr>
      <w:tr>
        <w:trPr>
          <w:trHeight w:val="20"/>
        </w:trPr>
        <w:tc>
          <w:tcPr>
            <w:tcW w:w="3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45"/>
        </w:trPr>
        <w:tc>
          <w:tcPr>
            <w:tcW w:w="3540" w:type="dxa"/>
            <w:vAlign w:val="bottom"/>
          </w:tcPr>
          <w:p>
            <w:pPr>
              <w:spacing w:after="0"/>
              <w:rPr>
                <w:sz w:val="21"/>
                <w:szCs w:val="21"/>
                <w:color w:val="auto"/>
              </w:rPr>
            </w:pPr>
          </w:p>
        </w:tc>
        <w:tc>
          <w:tcPr>
            <w:tcW w:w="770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Name: Hani Luxenburg</w:t>
            </w:r>
          </w:p>
        </w:tc>
      </w:tr>
      <w:tr>
        <w:trPr>
          <w:trHeight w:val="234"/>
        </w:trPr>
        <w:tc>
          <w:tcPr>
            <w:tcW w:w="3540" w:type="dxa"/>
            <w:vAlign w:val="bottom"/>
          </w:tcPr>
          <w:p>
            <w:pPr>
              <w:spacing w:after="0"/>
              <w:rPr>
                <w:sz w:val="20"/>
                <w:szCs w:val="20"/>
                <w:color w:val="auto"/>
              </w:rPr>
            </w:pPr>
          </w:p>
        </w:tc>
        <w:tc>
          <w:tcPr>
            <w:tcW w:w="770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412"/>
        </w:trPr>
        <w:tc>
          <w:tcPr>
            <w:tcW w:w="35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3" w:name="page4"/>
    <w:bookmarkEnd w:id="3"/>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Form 6-K:</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27, 2026 titled “MediWound Reports First Quarter 2026 Financial Results and Provides Corporate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320" w:top="347" w:right="7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37385" cy="711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738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MediWound Reports First Quarter 2026 Financial Results and Provides Corporate Update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EscharEx</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Phase III VALUE trial advancing; interim assessment and enrollment completion expected</w:t>
      </w:r>
    </w:p>
    <w:p>
      <w:pPr>
        <w:jc w:val="center"/>
        <w:spacing w:after="0"/>
        <w:rPr>
          <w:sz w:val="20"/>
          <w:szCs w:val="20"/>
          <w:color w:val="auto"/>
        </w:rPr>
      </w:pPr>
      <w:r>
        <w:rPr>
          <w:rFonts w:ascii="Times New Roman" w:cs="Times New Roman" w:eastAsia="Times New Roman" w:hAnsi="Times New Roman"/>
          <w:sz w:val="18"/>
          <w:szCs w:val="18"/>
          <w:i w:val="1"/>
          <w:iCs w:val="1"/>
          <w:color w:val="auto"/>
        </w:rPr>
        <w:t>by the end of the first quarter of 2027</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revenue of $1.5 million; full-year 2026 revenue guidance reaffirmed at $24-26 million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Today, May 27, 2026, at 8:30 a.m. Eastern Time</w:t>
      </w:r>
    </w:p>
    <w:p>
      <w:pPr>
        <w:spacing w:after="0" w:line="23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YAVNE, Israel, May 27, 2026 </w:t>
      </w:r>
      <w:r>
        <w:rPr>
          <w:rFonts w:ascii="Times New Roman" w:cs="Times New Roman" w:eastAsia="Times New Roman" w:hAnsi="Times New Roman"/>
          <w:sz w:val="18"/>
          <w:szCs w:val="18"/>
          <w:color w:val="auto"/>
        </w:rPr>
        <w:t>-- MediWound Ltd. (Nasdaq: MDWD), a global leader in next-generation enzymatic therapeutics for tissue repair,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first quarter ended March 31, 2026, and provided a corporate update.</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“During the first quarter, we continued to advance both our strategic and operational priorities,” said Ofer Gonen, Chief Executive Officer of MediWound. “Enrollment continues in the EscharEx’s global Phase III VALUE study in venous leg ulcers, with more than 30 sites active across the U.S., Europe, and Israel. Enrollment has progressed more gradually than originally anticipated, and we have implemented targeted actions to support recruitment momentum. We continue to see strong engagement from investigators and strategic collaborators and remain encouraged by the growing medical and commercial interest in EscharEx.”</w:t>
      </w:r>
    </w:p>
    <w:p>
      <w:pPr>
        <w:spacing w:after="0" w:line="18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“For NexoBrid, the BARDA contract awarded to Vericel, together with other government and military initiatives, further underscores the importance of NexoBrid for national preparedness efforts and is expected to contribute to revenue growth in the second half of 2026. We also remain focused on completing the regulatory and operational steps necessary to bring our expanded manufacturing capacity online.”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 Recent Developments, and Upcoming Milestones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EscharEx</w:t>
      </w:r>
      <w:r>
        <w:rPr>
          <w:rFonts w:ascii="Times New Roman" w:cs="Times New Roman" w:eastAsia="Times New Roman" w:hAnsi="Times New Roman"/>
          <w:sz w:val="29"/>
          <w:szCs w:val="29"/>
          <w:b w:val="1"/>
          <w:bCs w:val="1"/>
          <w:color w:val="auto"/>
          <w:vertAlign w:val="superscript"/>
        </w:rPr>
        <w:t>®</w:t>
      </w:r>
    </w:p>
    <w:p>
      <w:pPr>
        <w:spacing w:after="0" w:line="126" w:lineRule="exact"/>
        <w:rPr>
          <w:sz w:val="20"/>
          <w:szCs w:val="20"/>
          <w:color w:val="auto"/>
        </w:rPr>
      </w:pPr>
    </w:p>
    <w:p>
      <w:pPr>
        <w:jc w:val="both"/>
        <w:ind w:left="660" w:hanging="328"/>
        <w:spacing w:after="0" w:line="26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continues in the global Phase III VALUE study in venous leg ulcers (VLUs), targeting 216 patients across approximately 40 sites in the U.S., Europe, and Israel. The pre-specified interim sample size reassessment and enrollment completion are expected by the end of the first quarter of 2027.</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(Nasdaq: MDLN) joined the EscharEx clinical development program through a research collaboration agreement, alongside existing collaborators Coloplast/Kerecis, Convatec, Essity, Mölnlycke, Solventum, B. Braun and MIMEDX. Together, these collaborations include all major advanced wound care companies relevant to the program.</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peer-reviewed U.S. expert consensus document was published in </w:t>
      </w:r>
      <w:r>
        <w:rPr>
          <w:rFonts w:ascii="Times New Roman" w:cs="Times New Roman" w:eastAsia="Times New Roman" w:hAnsi="Times New Roman"/>
          <w:sz w:val="18"/>
          <w:szCs w:val="18"/>
          <w:i w:val="1"/>
          <w:iCs w:val="1"/>
          <w:u w:val="single" w:color="auto"/>
          <w:color w:val="auto"/>
        </w:rPr>
        <w:t>WOUNDS</w:t>
      </w:r>
      <w:r>
        <w:rPr>
          <w:rFonts w:ascii="Times New Roman" w:cs="Times New Roman" w:eastAsia="Times New Roman" w:hAnsi="Times New Roman"/>
          <w:sz w:val="18"/>
          <w:szCs w:val="18"/>
          <w:color w:val="auto"/>
        </w:rPr>
        <w:t>, underscoring the market need for effective, easy-to-use, and less invasive debridement modalities in chronic wound care, reinforcing the clinical and commercial case for EscharEx.</w:t>
      </w:r>
    </w:p>
    <w:p>
      <w:pPr>
        <w:jc w:val="both"/>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clinical and preclinical data presented at the 2026 WHS, SAWC Spring, and EWMA conferences highlighted EscharEx’s clinical benefits, its distinct mechanism of action, and its broad potential across various chronic wound types, including VLUs, DFUs, and pressure ulcers. The data also demonstrated the advantages of EscharEx over SANTYL, the leading biologic enzymatic debridement therapy with annual sales exceeding $400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NexoBrid</w:t>
      </w:r>
      <w:r>
        <w:rPr>
          <w:rFonts w:ascii="Times New Roman" w:cs="Times New Roman" w:eastAsia="Times New Roman" w:hAnsi="Times New Roman"/>
          <w:sz w:val="29"/>
          <w:szCs w:val="29"/>
          <w:b w:val="1"/>
          <w:bCs w:val="1"/>
          <w:color w:val="auto"/>
          <w:vertAlign w:val="superscript"/>
        </w:rPr>
        <w:t>®</w:t>
      </w:r>
    </w:p>
    <w:p>
      <w:pPr>
        <w:spacing w:after="0" w:line="126"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adoption of NexoBrid continues to expand, with Vericel reporting growth in both the number of ordering centers and total orders across the U.S. burn care market.</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Vericel was awarded a ten-year BARDA contract valued at up to $197 million to support NexoBrid procurement, vendor-managed inventory services, potential blast-trauma indication development, and next-generation manufacturing and formulation capabilities. Initial procurement activity is expected to begin in the second half of 2026.</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supply from the expanded NexoBrid manufacturing facility remains subject to regulatory approval. A recent on-site pre-audit by the European Medicines Agency (EMA) identified several recommended modifications, which the Company expects to implement during the second half of 2026.</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national consensus guidelines from </w:t>
      </w:r>
      <w:r>
        <w:rPr>
          <w:rFonts w:ascii="Times New Roman" w:cs="Times New Roman" w:eastAsia="Times New Roman" w:hAnsi="Times New Roman"/>
          <w:sz w:val="18"/>
          <w:szCs w:val="18"/>
          <w:u w:val="single" w:color="auto"/>
          <w:color w:val="auto"/>
        </w:rPr>
        <w:t>Japan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xml:space="preserve">, published in the peer-reviewed </w:t>
      </w:r>
      <w:r>
        <w:rPr>
          <w:rFonts w:ascii="Times New Roman" w:cs="Times New Roman" w:eastAsia="Times New Roman" w:hAnsi="Times New Roman"/>
          <w:sz w:val="18"/>
          <w:szCs w:val="18"/>
          <w:i w:val="1"/>
          <w:iCs w:val="1"/>
          <w:color w:val="auto"/>
        </w:rPr>
        <w:t>European Burn Journal</w:t>
      </w:r>
      <w:r>
        <w:rPr>
          <w:rFonts w:ascii="Times New Roman" w:cs="Times New Roman" w:eastAsia="Times New Roman" w:hAnsi="Times New Roman"/>
          <w:sz w:val="18"/>
          <w:szCs w:val="18"/>
          <w:color w:val="auto"/>
        </w:rPr>
        <w:t>, add to existing European, WHO, and country-specific recommendations from Italy, Spain, Romania, and Poland, further reinforce the growing role of NexoBrid in burn care worldwide.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peer-reviewed NEXT Expanded Access Program, published in the </w:t>
      </w:r>
      <w:r>
        <w:rPr>
          <w:rFonts w:ascii="Times New Roman" w:cs="Times New Roman" w:eastAsia="Times New Roman" w:hAnsi="Times New Roman"/>
          <w:sz w:val="18"/>
          <w:szCs w:val="18"/>
          <w:i w:val="1"/>
          <w:iCs w:val="1"/>
          <w:u w:val="single" w:color="auto"/>
          <w:color w:val="auto"/>
        </w:rPr>
        <w:t>Journal of Burn Care &amp; Research</w:t>
      </w:r>
      <w:r>
        <w:rPr>
          <w:rFonts w:ascii="Times New Roman" w:cs="Times New Roman" w:eastAsia="Times New Roman" w:hAnsi="Times New Roman"/>
          <w:sz w:val="18"/>
          <w:szCs w:val="18"/>
          <w:color w:val="auto"/>
        </w:rPr>
        <w:t>, presented real-world U.S. data from 239 adult and pediatric burn patients treated with NexoBrid, showing rapid eschar removal, low rates of surgical excision, and a safety profile consistent with prior Phase III trials.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43" w:lineRule="exact"/>
        <w:rPr>
          <w:sz w:val="20"/>
          <w:szCs w:val="20"/>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first quarter was $1.5 million, compared to $4.0 million in the first quarter of 2025. The decrease was primarily attributable to the timing of BARDA-related revenues, as well as postponed shipments related to regional conflict.</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$0.3 million, representing a gross margin of 21.9%, compared to gross profit of $0.7 million, or a gross margin of 18.7%, in the first quarter of 2025.</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$5.2 million, compared to $2.9 million in the first quarter of 2025, primarily due to costs associated with the EscharEx VALUE Phase III trial.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totaled $3.6 million, compared to $3.1 million in the prior-year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$8.0 million, compared to $5.2 million in the first quarter of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$3.0 million, or $0.23 per share, compared to a net loss of $0.7 million, or $0.07 per share, in the first quarter of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loss was $7.0 million, compared to a loss of $4.0 million in the same period last year.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Other Highlights</w:t>
      </w:r>
    </w:p>
    <w:p>
      <w:pPr>
        <w:spacing w:after="0" w:line="243" w:lineRule="exact"/>
        <w:rPr>
          <w:sz w:val="20"/>
          <w:szCs w:val="20"/>
          <w:color w:val="auto"/>
        </w:rPr>
      </w:pPr>
    </w:p>
    <w:p>
      <w:pPr>
        <w:ind w:left="660" w:right="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cash, cash equivalents, and deposits totaled $45 million, compared to $54 million as of December 31, 2025. The balance includes $1.2 million received under the European Innovation Council (EIC) Accelerator grant program.</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during the first quarter of 2026 was $9.6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MediWound received $0.7 million from the exercise of Series A warrants after quarter-end.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reaffirmed its full-year 2026 revenue guidance of $24 million to $26 million, supported primarily by expected revenue from government-related development services during the second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MediWound management will host a conference call for investors on Wednesday, May 27, 2026, beginning at 8:30 a.m., Eastern Time to discuss these results and answer questions. Shareholders and other interested parties may join the conference call by dialing 1-844-676-8833 (in the U.S.), 1-809-212373 (Israel), or 1-412-634-6869 (outside the U.S. &amp; Israel). The call will be available via webcast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or on the </w:t>
      </w:r>
      <w:r>
        <w:rPr>
          <w:rFonts w:ascii="Times New Roman" w:cs="Times New Roman" w:eastAsia="Times New Roman" w:hAnsi="Times New Roman"/>
          <w:sz w:val="18"/>
          <w:szCs w:val="18"/>
          <w:u w:val="single" w:color="auto"/>
          <w:color w:val="auto"/>
        </w:rPr>
        <w:t>Events &amp; Presentations</w:t>
      </w:r>
      <w:r>
        <w:rPr>
          <w:rFonts w:ascii="Times New Roman" w:cs="Times New Roman" w:eastAsia="Times New Roman" w:hAnsi="Times New Roman"/>
          <w:sz w:val="18"/>
          <w:szCs w:val="18"/>
          <w:color w:val="auto"/>
        </w:rPr>
        <w:t xml:space="preserve"> page of the Company’s website.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replay of the call will be available on the Company’s website at </w:t>
      </w:r>
      <w:r>
        <w:rPr>
          <w:rFonts w:ascii="Times New Roman" w:cs="Times New Roman" w:eastAsia="Times New Roman" w:hAnsi="Times New Roman"/>
          <w:sz w:val="18"/>
          <w:szCs w:val="18"/>
          <w:u w:val="single" w:color="auto"/>
          <w:color w:val="auto"/>
        </w:rPr>
        <w:t>www.mediwound.com</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certain non-recurring expenses, restructuring and share-based compensation expenses.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 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MediWound</w:t>
      </w:r>
    </w:p>
    <w:p>
      <w:pPr>
        <w:spacing w:after="0" w:line="256"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18"/>
          <w:szCs w:val="18"/>
          <w:color w:val="auto"/>
        </w:rPr>
        <w:t>MediWound Ltd. (Nasdaq: MDWD) is a global biotechnology company pioneering enzymatic, non-surgical therapies for tissue repair. The company’s FDA-approved biologic, NexoBrid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indicated for the enzymatic removal of eschar in thermal burns and is marketed in the United States, European Union, Japan, and additional international markets. MediWound’s late-stage pipeline product, EscharEx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an investigational therapy for the debridement of chronic wounds, with the potential to become, if approved, a new standard of care in wound management.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www.mediwound.com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 (formerly Twitter)</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MediWound cautions you that all statements other than statements of historical fact included in this press release that address activities, events, or developments that we expect, believe, or anticipate will or may occur in the future are forward-looking statements. Although we believe that we have a reasonable basis for the forward-looking statements contained herein, they are based on current expectations about future events affecting us and are subject to risks, assumptions, uncertainties, and factors, all of which are difficult to predict and many of which are beyond our control. Actual results may differ materially from those expressed or implied by the forward-looking statements in this press release. These statements are often, but are not always, made through the use of words or phrases such as “anticipates,” “intends,” “estimates,” “plans,” “expects,” “continues,” “believe,” “guidance,” “outlook,” “target,” “future,” “potential,” “goals” and similar words or phrases, or future or conditional verbs such as “will,” “would,” “should,” “could,” “may,” or similar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Specifically, this press release contains forward-looking statements concerning the anticipated progress, development, study design, expected data timing, objectives anticipated timelines, expectations and commercial potential of our products and product candidates, including EscharEx</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and NexoBrid</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Among the factors that may cause results to be materially different from those stated herein are the inherent uncertainties associated with the uncertain, lengthy and expensive nature of the product development process; the timing and conduct of our studies of our products and product candidates, including the timing, progress and results of current and future clinical studies, and our research and development programs; the approval of regulatory submission by the FDA, the European Medicines Agency or by any other regulatory authority, our ability to obtain marketing approval of our products and product candidates in the U.S. or other markets; our contracts with governmental agencies; the clinical utility, potential advantages and timing or likelihood of regulatory filings and approvals of our products and products candidates; our expectations regarding future growth, including our ability to develop new products; market acceptance of our products and product candidates; our ability to maintain adequate protection of our intellectual property; competition risks; geopolitical risks, including armed conflict, the need for additional financing; the impact of government laws and regulations and the impact of the current global macroeconomic climate on our ability to source supplies for our operations or our ability or capacity to manufacture, sell and support the use of our products and product candidates in the future.</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i w:val="1"/>
          <w:iCs w:val="1"/>
          <w:color w:val="auto"/>
        </w:rPr>
        <w:t>These and other significant factors are discussed in greater detail in MediWound’s annual report on Form 20-F for the year ended December 31, 2025, filed with the Securities and Exchange Commission (“SEC”) on March 5, 2026 and Quarterly Reports on Form 6-K and other filings with the SEC from time-to-time. These forward-looking statements reflect MediWound’s current views as of the date hereof and MediWound undertakes, and specifically disclaims, any obligation to update any of these forward-looking statements to reflect a change in their respective views or events or circumstances that occur after the date of this release except as required by law.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MediWound Contacts:</w:t>
            </w:r>
          </w:p>
        </w:tc>
        <w:tc>
          <w:tcPr>
            <w:tcW w:w="200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4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Hani Luxenburg</w:t>
            </w: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Ferry</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2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MediWound Ltd.</w:t>
            </w: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LifeSci Advisors, LLC</w:t>
            </w:r>
          </w:p>
        </w:tc>
      </w:tr>
      <w:tr>
        <w:trPr>
          <w:trHeight w:val="194"/>
        </w:trPr>
        <w:tc>
          <w:tcPr>
            <w:tcW w:w="5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ir@mediwound.com</w:t>
            </w:r>
          </w:p>
        </w:tc>
        <w:tc>
          <w:tcPr>
            <w:tcW w:w="6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daniel@lifesciadvisors.com</w:t>
            </w:r>
          </w:p>
        </w:tc>
      </w:tr>
      <w:tr>
        <w:trPr>
          <w:trHeight w:val="446"/>
        </w:trPr>
        <w:tc>
          <w:tcPr>
            <w:tcW w:w="1480" w:type="dxa"/>
            <w:vAlign w:val="bottom"/>
            <w:tcBorders>
              <w:top w:val="single" w:sz="8" w:color="auto"/>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9"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4640" w:type="dxa"/>
            <w:vAlign w:val="bottom"/>
            <w:gridSpan w:val="4"/>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MediWound Ltd.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9020" w:type="dxa"/>
            <w:vAlign w:val="bottom"/>
            <w:gridSpan w:val="5"/>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Financial Position</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380" w:type="dxa"/>
            <w:vAlign w:val="bottom"/>
          </w:tcPr>
          <w:p>
            <w:pPr>
              <w:spacing w:after="0"/>
              <w:rPr>
                <w:sz w:val="20"/>
                <w:szCs w:val="20"/>
                <w:color w:val="auto"/>
              </w:rPr>
            </w:pPr>
          </w:p>
        </w:tc>
        <w:tc>
          <w:tcPr>
            <w:tcW w:w="4640" w:type="dxa"/>
            <w:vAlign w:val="bottom"/>
            <w:gridSpan w:val="4"/>
          </w:tcPr>
          <w:p>
            <w:pPr>
              <w:jc w:val="center"/>
              <w:ind w:right="2160"/>
              <w:spacing w:after="0"/>
              <w:rPr>
                <w:sz w:val="20"/>
                <w:szCs w:val="20"/>
                <w:color w:val="auto"/>
              </w:rPr>
            </w:pPr>
            <w:r>
              <w:rPr>
                <w:rFonts w:ascii="Times New Roman" w:cs="Times New Roman" w:eastAsia="Times New Roman" w:hAnsi="Times New Roman"/>
                <w:sz w:val="18"/>
                <w:szCs w:val="18"/>
                <w:color w:val="auto"/>
                <w:w w:val="99"/>
              </w:rPr>
              <w:t>U.S. dollars in thousands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4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0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4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2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short-term bank deposits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53,140</w:t>
            </w: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 net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r>
      <w:tr>
        <w:trPr>
          <w:trHeight w:val="23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4,093</w:t>
            </w:r>
          </w:p>
        </w:tc>
      </w:tr>
      <w:tr>
        <w:trPr>
          <w:trHeight w:val="270"/>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9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52,166</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47,022</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59,964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w:t>
            </w:r>
          </w:p>
        </w:tc>
        <w:tc>
          <w:tcPr>
            <w:tcW w:w="2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and long-term restricted bank deposit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18,640</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7,151</w:t>
            </w: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9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3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27,816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26,291</w:t>
            </w:r>
          </w:p>
        </w:tc>
      </w:tr>
      <w:tr>
        <w:trPr>
          <w:trHeight w:val="21"/>
        </w:trPr>
        <w:tc>
          <w:tcPr>
            <w:tcW w:w="4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8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79,982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69,016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86,255</w:t>
            </w:r>
          </w:p>
        </w:tc>
      </w:tr>
      <w:tr>
        <w:trPr>
          <w:trHeight w:val="21"/>
        </w:trPr>
        <w:tc>
          <w:tcPr>
            <w:tcW w:w="4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liabilities</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12,659</w:t>
            </w: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7,648</w:t>
            </w:r>
          </w:p>
        </w:tc>
      </w:t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4,531</w:t>
            </w:r>
          </w:p>
        </w:tc>
      </w:tr>
      <w:tr>
        <w:trPr>
          <w:trHeight w:val="270"/>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9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21,646</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21,843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25,708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LIABILITIES:</w:t>
            </w:r>
          </w:p>
        </w:tc>
        <w:tc>
          <w:tcPr>
            <w:tcW w:w="2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Grants received in advance</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in respect of IIA grants</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8,291</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8,152</w:t>
            </w: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 liability, net</w:t>
            </w:r>
          </w:p>
        </w:tc>
        <w:tc>
          <w:tcPr>
            <w:tcW w:w="29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r>
        <w:trPr>
          <w:trHeight w:val="27"/>
        </w:trPr>
        <w:tc>
          <w:tcPr>
            <w:tcW w:w="43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16,915</w:t>
            </w:r>
          </w:p>
        </w:tc>
      </w:tr>
      <w:tr>
        <w:trPr>
          <w:trHeight w:val="20"/>
        </w:trPr>
        <w:tc>
          <w:tcPr>
            <w:tcW w:w="4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38,559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37,744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42,623</w:t>
            </w:r>
          </w:p>
        </w:tc>
      </w:tr>
      <w:tr>
        <w:trPr>
          <w:trHeight w:val="236"/>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9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41,423</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equity</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79,982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69,016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86,255</w:t>
            </w:r>
          </w:p>
        </w:tc>
      </w:tr>
      <w:tr>
        <w:trPr>
          <w:trHeight w:val="20"/>
        </w:trPr>
        <w:tc>
          <w:tcPr>
            <w:tcW w:w="4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43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MediWound Ltd.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 and Other Comprehensive Income or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of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7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45"/>
        </w:trPr>
        <w:tc>
          <w:tcPr>
            <w:tcW w:w="7320" w:type="dxa"/>
            <w:vAlign w:val="bottom"/>
          </w:tcPr>
          <w:p>
            <w:pPr>
              <w:spacing w:after="0"/>
              <w:rPr>
                <w:sz w:val="21"/>
                <w:szCs w:val="21"/>
                <w:color w:val="auto"/>
              </w:rPr>
            </w:pPr>
          </w:p>
        </w:tc>
        <w:tc>
          <w:tcPr>
            <w:tcW w:w="16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13,705</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24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3,254</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14,320</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5,765</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8,448</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(7,980)</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(5,225)</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(25,266)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(2,952)</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(23,879)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(2,946)</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73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shares used in calculating basic and diluted loss per share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12,874,062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10,798,318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11,376,571</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7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MediWound Ltd.</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7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59"/>
        </w:trPr>
        <w:tc>
          <w:tcPr>
            <w:tcW w:w="29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70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29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29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Cash Flows from Operating Activities:</w:t>
            </w:r>
          </w:p>
        </w:tc>
        <w:tc>
          <w:tcPr>
            <w:tcW w:w="4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(2,952)</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(23,879)</w:t>
            </w: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9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 to profit and loss items: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w:t>
            </w:r>
          </w:p>
        </w:tc>
      </w:tr>
      <w:tr>
        <w:trPr>
          <w:trHeight w:val="230"/>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3,108</w:t>
            </w:r>
          </w:p>
        </w:tc>
      </w:tr>
      <w:tr>
        <w:trPr>
          <w:trHeight w:val="229"/>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Revaluation of warrants accounted at fair value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(4,936)</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(2,158)</w:t>
            </w:r>
          </w:p>
        </w:tc>
      </w:tr>
      <w:tr>
        <w:trPr>
          <w:trHeight w:val="229"/>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Revaluation of liabilities in respect of IIA grants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Financing income and exchange differences of lease liability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r>
      <w:tr>
        <w:trPr>
          <w:trHeight w:val="229"/>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(decrease) in severance liability, net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income, net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r>
      <w:tr>
        <w:trPr>
          <w:trHeight w:val="237"/>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Unrealized foreign currency loss (gain)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298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w:t>
            </w:r>
          </w:p>
        </w:tc>
        <w:tc>
          <w:tcPr>
            <w:tcW w:w="24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(3,322)</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2,991</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Changes in asset and liability items: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trade receivables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3,211</w:t>
            </w:r>
          </w:p>
        </w:tc>
      </w:tr>
      <w:tr>
        <w:trPr>
          <w:trHeight w:val="229"/>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Increase in inventories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(686)</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(1,363)</w:t>
            </w:r>
          </w:p>
        </w:tc>
      </w:tr>
      <w:tr>
        <w:trPr>
          <w:trHeight w:val="230"/>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other receivables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(733)</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w:t>
            </w:r>
          </w:p>
        </w:tc>
      </w:tr>
      <w:tr>
        <w:trPr>
          <w:trHeight w:val="230"/>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Increase (decrease) in trade payables and accrued expenses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w:t>
            </w:r>
          </w:p>
        </w:tc>
      </w:tr>
      <w:tr>
        <w:trPr>
          <w:trHeight w:val="230"/>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grants received in advance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Increase (decrease) in other payables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w:t>
            </w: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(6,754)</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(4,110)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(16,121)</w:t>
            </w:r>
          </w:p>
        </w:tc>
      </w:tr>
      <w:tr>
        <w:trPr>
          <w:trHeight w:val="21"/>
        </w:trPr>
        <w:tc>
          <w:tcPr>
            <w:tcW w:w="29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29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MediWound Ltd.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76"/>
        </w:trPr>
        <w:tc>
          <w:tcPr>
            <w:tcW w:w="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60" w:type="dxa"/>
            <w:vAlign w:val="bottom"/>
            <w:tcBorders>
              <w:top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5"/>
                <w:szCs w:val="15"/>
                <w:color w:val="auto"/>
              </w:rPr>
            </w:pPr>
          </w:p>
        </w:tc>
        <w:tc>
          <w:tcPr>
            <w:tcW w:w="1120" w:type="dxa"/>
            <w:vAlign w:val="bottom"/>
            <w:tcBorders>
              <w:top w:val="single" w:sz="8" w:color="auto"/>
            </w:tcBorders>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r>
      <w:tr>
        <w:trPr>
          <w:trHeight w:val="41"/>
        </w:trPr>
        <w:tc>
          <w:tcPr>
            <w:tcW w:w="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40" w:type="dxa"/>
            <w:vAlign w:val="bottom"/>
            <w:tcBorders>
              <w:bottom w:val="single" w:sz="8" w:color="CCEEFF"/>
            </w:tcBorders>
            <w:shd w:val="clear" w:color="auto" w:fill="CCEEFF"/>
          </w:tcPr>
          <w:p>
            <w:pPr>
              <w:spacing w:after="0"/>
              <w:rPr>
                <w:sz w:val="18"/>
                <w:szCs w:val="18"/>
                <w:color w:val="auto"/>
              </w:rPr>
            </w:pPr>
          </w:p>
        </w:tc>
        <w:tc>
          <w:tcPr>
            <w:tcW w:w="30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Cash Flows from Investment Activities:</w:t>
            </w:r>
          </w:p>
        </w:tc>
        <w:tc>
          <w:tcPr>
            <w:tcW w:w="4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(1,820)</w:t>
            </w:r>
          </w:p>
        </w:tc>
        <w:tc>
          <w:tcPr>
            <w:tcW w:w="4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(5,505)</w:t>
            </w:r>
          </w:p>
        </w:tc>
      </w:tr>
      <w:tr>
        <w:trPr>
          <w:trHeight w:val="229"/>
        </w:trPr>
        <w:tc>
          <w:tcPr>
            <w:tcW w:w="4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r>
      <w:tr>
        <w:trPr>
          <w:trHeight w:val="237"/>
        </w:trPr>
        <w:tc>
          <w:tcPr>
            <w:tcW w:w="40" w:type="dxa"/>
            <w:vAlign w:val="bottom"/>
          </w:tcPr>
          <w:p>
            <w:pPr>
              <w:spacing w:after="0"/>
              <w:rPr>
                <w:sz w:val="20"/>
                <w:szCs w:val="20"/>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(investment in) short term bank deposits, net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(14,036)</w:t>
            </w:r>
          </w:p>
        </w:tc>
      </w:tr>
      <w:tr>
        <w:trPr>
          <w:trHeight w:val="270"/>
        </w:trPr>
        <w:tc>
          <w:tcPr>
            <w:tcW w:w="40" w:type="dxa"/>
            <w:vAlign w:val="bottom"/>
            <w:shd w:val="clear" w:color="auto" w:fill="CCEEFF"/>
          </w:tcPr>
          <w:p>
            <w:pPr>
              <w:spacing w:after="0"/>
              <w:rPr>
                <w:sz w:val="23"/>
                <w:szCs w:val="23"/>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1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17,756</w:t>
            </w:r>
          </w:p>
        </w:tc>
        <w:tc>
          <w:tcPr>
            <w:tcW w:w="220" w:type="dxa"/>
            <w:vAlign w:val="bottom"/>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(3,343)</w:t>
            </w:r>
          </w:p>
        </w:tc>
        <w:tc>
          <w:tcPr>
            <w:tcW w:w="220" w:type="dxa"/>
            <w:vAlign w:val="bottom"/>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(17,950)</w:t>
            </w:r>
          </w:p>
        </w:tc>
        <w:tc>
          <w:tcPr>
            <w:tcW w:w="100" w:type="dxa"/>
            <w:vAlign w:val="bottom"/>
            <w:shd w:val="clear" w:color="auto" w:fill="CCEEFF"/>
          </w:tcPr>
          <w:p>
            <w:pPr>
              <w:spacing w:after="0"/>
              <w:rPr>
                <w:sz w:val="23"/>
                <w:szCs w:val="23"/>
                <w:color w:val="auto"/>
              </w:rPr>
            </w:pPr>
          </w:p>
        </w:tc>
      </w:tr>
      <w:tr>
        <w:trPr>
          <w:trHeight w:val="169"/>
        </w:trPr>
        <w:tc>
          <w:tcPr>
            <w:tcW w:w="40" w:type="dxa"/>
            <w:vAlign w:val="bottom"/>
            <w:tcBorders>
              <w:top w:val="single" w:sz="8" w:color="CCEEFF"/>
            </w:tcBorders>
          </w:tcPr>
          <w:p>
            <w:pPr>
              <w:spacing w:after="0"/>
              <w:rPr>
                <w:sz w:val="14"/>
                <w:szCs w:val="14"/>
                <w:color w:val="auto"/>
              </w:rPr>
            </w:pPr>
          </w:p>
        </w:tc>
        <w:tc>
          <w:tcPr>
            <w:tcW w:w="72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34"/>
        </w:trPr>
        <w:tc>
          <w:tcPr>
            <w:tcW w:w="40" w:type="dxa"/>
            <w:vAlign w:val="bottom"/>
          </w:tcPr>
          <w:p>
            <w:pPr>
              <w:spacing w:after="0"/>
              <w:rPr>
                <w:sz w:val="2"/>
                <w:szCs w:val="2"/>
                <w:color w:val="auto"/>
              </w:rPr>
            </w:pPr>
          </w:p>
        </w:tc>
        <w:tc>
          <w:tcPr>
            <w:tcW w:w="2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(1,212)</w:t>
            </w:r>
          </w:p>
        </w:tc>
      </w:tr>
      <w:tr>
        <w:trPr>
          <w:trHeight w:val="229"/>
        </w:trPr>
        <w:tc>
          <w:tcPr>
            <w:tcW w:w="4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exercise of warrants and share options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3,630</w:t>
            </w:r>
          </w:p>
        </w:tc>
      </w:tr>
      <w:tr>
        <w:trPr>
          <w:trHeight w:val="230"/>
        </w:trPr>
        <w:tc>
          <w:tcPr>
            <w:tcW w:w="4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27,416</w:t>
            </w:r>
          </w:p>
        </w:tc>
      </w:tr>
      <w:tr>
        <w:trPr>
          <w:trHeight w:val="236"/>
        </w:trPr>
        <w:tc>
          <w:tcPr>
            <w:tcW w:w="40" w:type="dxa"/>
            <w:vAlign w:val="bottom"/>
          </w:tcPr>
          <w:p>
            <w:pPr>
              <w:spacing w:after="0"/>
              <w:rPr>
                <w:sz w:val="20"/>
                <w:szCs w:val="20"/>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Repayments of IIA grants, net</w:t>
            </w: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16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0"/>
        </w:trPr>
        <w:tc>
          <w:tcPr>
            <w:tcW w:w="4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on cash and cash equivalent balances</w:t>
            </w: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10,552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(7,796)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(4,356)</w:t>
            </w:r>
          </w:p>
        </w:tc>
      </w:tr>
      <w:tr>
        <w:trPr>
          <w:trHeight w:val="230"/>
        </w:trPr>
        <w:tc>
          <w:tcPr>
            <w:tcW w:w="4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and cash equivalents at the beginning of the period</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9,155</w:t>
            </w:r>
          </w:p>
        </w:tc>
      </w:tr>
      <w:tr>
        <w:trPr>
          <w:trHeight w:val="27"/>
        </w:trPr>
        <w:tc>
          <w:tcPr>
            <w:tcW w:w="4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the end of the period</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15,351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4,799</w:t>
            </w:r>
          </w:p>
        </w:tc>
      </w:tr>
      <w:tr>
        <w:trPr>
          <w:trHeight w:val="21"/>
        </w:trPr>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528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MediWound Ltd.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3740" w:type="dxa"/>
            <w:vAlign w:val="bottom"/>
          </w:tcPr>
          <w:p>
            <w:pPr>
              <w:spacing w:after="0"/>
              <w:rPr>
                <w:sz w:val="24"/>
                <w:szCs w:val="24"/>
                <w:color w:val="auto"/>
              </w:rPr>
            </w:pPr>
          </w:p>
        </w:tc>
        <w:tc>
          <w:tcPr>
            <w:tcW w:w="528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40" w:type="dxa"/>
            <w:vAlign w:val="bottom"/>
          </w:tcPr>
          <w:p>
            <w:pPr>
              <w:spacing w:after="0"/>
              <w:rPr>
                <w:sz w:val="20"/>
                <w:szCs w:val="20"/>
                <w:color w:val="auto"/>
              </w:rPr>
            </w:pPr>
          </w:p>
        </w:tc>
        <w:tc>
          <w:tcPr>
            <w:tcW w:w="528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U.S. dollars in thousands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59"/>
        </w:trPr>
        <w:tc>
          <w:tcPr>
            <w:tcW w:w="37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70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37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(23,879)</w:t>
            </w:r>
          </w:p>
        </w:tc>
        <w:tc>
          <w:tcPr>
            <w:tcW w:w="100" w:type="dxa"/>
            <w:vAlign w:val="bottom"/>
            <w:shd w:val="clear" w:color="auto" w:fill="CCEEFF"/>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4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1,556</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 net</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Taxes on income</w:t>
            </w:r>
          </w:p>
        </w:tc>
        <w:tc>
          <w:tcPr>
            <w:tcW w:w="4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(169)</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(378)</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(1,860)</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w:t>
            </w:r>
          </w:p>
        </w:tc>
        <w:tc>
          <w:tcPr>
            <w:tcW w:w="35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(644)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(3,108)</w:t>
            </w:r>
          </w:p>
        </w:tc>
      </w:tr>
      <w:tr>
        <w:trPr>
          <w:trHeight w:val="27"/>
        </w:trPr>
        <w:tc>
          <w:tcPr>
            <w:tcW w:w="37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3,293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(3,568)</w:t>
            </w:r>
          </w:p>
        </w:tc>
      </w:tr>
      <w:tr>
        <w:trPr>
          <w:trHeight w:val="270"/>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(6,958)</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(4,019)</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318"/>
        </w:trPr>
        <w:tc>
          <w:tcPr>
            <w:tcW w:w="3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37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2026-05-27T06:07:23Z</dcterms:created>
  <dcterms:modified xsi:type="dcterms:W3CDTF">2026-05-27T06:07:23Z</dcterms:modified>
</cp:coreProperties>
</file>