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Hess Shmuel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MEDIWOUND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 HAYARKON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YAVNE</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8122745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MediWound Ltd.</w:t>
              </w:r>
            </w:hyperlink>
            <w:r>
              <w:rPr/>
              <w:t xml:space="preserve"> [ </w:t>
            </w:r>
            <w:r>
              <w:rPr>
                <w:rFonts w:ascii="Times;serif" w:hAnsi="Times;serif"/>
                <w:color w:val="0000FF"/>
                <w:sz w:val="24"/>
                <w:shd w:fill="FFFFFF" w:val="clear"/>
              </w:rPr>
              <w:t>MDWD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COO &amp; Chief Commercial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1"/>
        <w:gridCol w:w="904"/>
        <w:gridCol w:w="774"/>
        <w:gridCol w:w="600"/>
        <w:gridCol w:w="349"/>
        <w:gridCol w:w="846"/>
        <w:gridCol w:w="454"/>
        <w:gridCol w:w="840"/>
        <w:gridCol w:w="1163"/>
        <w:gridCol w:w="998"/>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(8)</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1,865</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(9)</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1,979</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12.72</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(9)</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1,979</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13.126</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(1)(10)</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4,085</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(2)(10)</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(3)(10)</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276"/>
        <w:gridCol w:w="711"/>
        <w:gridCol w:w="906"/>
        <w:gridCol w:w="801"/>
        <w:gridCol w:w="86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(4)(8)</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8.1292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12/01/2033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(4)(9)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8.1292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12/01/2033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(5)(10)</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12.729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02/26/2034</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32,681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32,681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(6)(10)</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18.54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02/11/2035</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(7)(10)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03/04/2036</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ordinary shares reported in this row consist of shares underlying restricted share units ("RSUs") that were granted to the Reporting Person on February 26, 2024 and vest in accordance with the following schedule: 25% of the RSUs vested upon the one-year anniversary of the grant date, and an additional 6.25% of the RSUs vest equally on a quarterly basis over the following three years such that they will be fully vested on the four-year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ordinary shares reported in this row consist of shares underlying RSUs that were granted to the Reporting Person on February 11, 2025 and vest in accordance with the following schedule: 25% of the RSUs vested upon the one-year anniversary of the grant date, and an additional 6.25% of the RSUs vest equally on a quarterly basis over the following three years such that they will be fully vested on the four-year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ordinary shares reported in this row consist of shares underlying RSUs that were granted to the Reporting Person on March 4, 2026 and vest in accordance with the following schedule: 25% of the RSUs vested upon the one-year anniversary of the grant date, and an additional 6.25% of the RSUs vest equally on a quarterly basis over the following three years such that they will be fully vested on the four-year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options reported in this row are the remaining outstanding options from a grant of 39,000 options that were granted to the Reporting Person on December 1, 2023 and that have been vesting in accordance with the following schedule: 25% of the options vested upon the one-year anniversary of the grant date, and an additional 6.25% of the options vest equally on a quarterly basis over the following three years such that they will be fully vested on the four-year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options reported in this row were granted to the Reporting Person on February 26, 2024 and vest in accordance with the following schedule: 25% of the options vested upon the one-year anniversary of the grant date, and an additional 6.25% of the options vest equally on a quarterly basis over the following three years such that they will be fully vested on the four-year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options reported in this row were granted to the Reporting Person on February 11, 2025 and vest in accordance with the following schedule: 25% of the options vested upon the one-year anniversary of the grant date, and an additional 6.25% of the options vest equally on a quarterly basis over the following three years such that they will be fully vested on the four-year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options reported in this row were granted to the Reporting Person on March 4, 2026 and vest in accordance with the following schedule: 25% of the options vested upon the one-year anniversary of the grant date, and an additional 6.25% of the options vest equally on a quarterly basis over the following three years such that they will be fully vested on the four-year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Reporting Person exercised 5,000 stock options on a net (cashless) basis. Shares otherwise issuable upon exercise were withheld to satisfy the aggregate exercise price, resulting in the net issuance of 1,865 ordinary shares to the Reporting Person. All 1,865 ordinary shares received upon the net exercise were sold on the same day as reported in Table 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Reporting Person exercised 11,000 stock options on a net (cashless) basis. Shares otherwise issuable upon exercise were withheld to satisfy the aggregate exercise price, resulting in the net issuance of 3,958 ordinary shares to the Reporting Person. All 3,958 ordinary shares received upon the net exercise were sold on the same day as reported in Table 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There were no transactions effected in respect of the securities reported in the rows marked with this footnote, and the holdings in such rows are being included for informational purposes only.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Yaron Meyer,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240" w:after="60"/>
        <w:ind w:left="0" w:right="0" w:hanging="0"/>
        <w:jc w:val="left"/>
        <w:rPr>
          <w:bdr w:val="single" w:sz="16" w:space="1" w:color="000000"/>
        </w:rPr>
      </w:pPr>
      <w:bookmarkStart w:id="2" w:name="ex24-1.htm"/>
      <w:bookmarkStart w:id="3" w:name="ksex241"/>
      <w:bookmarkEnd w:id="2"/>
      <w:bookmarkEnd w:id="3"/>
      <w:r>
        <w:rPr>
          <w:bdr w:val="single" w:sz="16" w:space="1" w:color="000000"/>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24.1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Yaron Meyer, Executive Vice President, General Counsel &amp; Corporate Secretary of MediWound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with full power of substitution, signing individually, the undersigned’s true and lawful attorney-in fact and agent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Prepare, execute in the undersigned’s name and on the undersigned’s behalf, and submit to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Forms 3, 4 and 5 (including amendments thereto and joint filing agreements in connection therewith) in accordance with Section 16(a) of the Securities Exchange Act of 1934, as amended, and the rules and regulations thereunder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in the undersigned’s capacity as an officer, director or beneficial owner of more than 10% of a registered class of securities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that may be necessary or desirable to execute such Forms 3, 4, or 5, (including any amendments thereto) and timely file such forms with the SEC, and any stock exchange, self-regulatory association or similar authority;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nature whatsoever in connection with the foregoing that,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his substitutes,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as to any attorney-in-fact individually, until such attorney-in-fact is no longer employed by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18th day of March, 2026.</w:t>
      </w:r>
    </w:p>
    <w:p>
      <w:pPr>
        <w:pStyle w:val="TextBody"/>
        <w:bidi w:val="0"/>
        <w:spacing w:before="0" w:after="0"/>
        <w:ind w:left="0" w:right="0" w:firstLine="720"/>
        <w:jc w:val="left"/>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75"/>
        <w:gridCol w:w="545"/>
        <w:gridCol w:w="1295"/>
        <w:gridCol w:w="7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129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Shmuel Hess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295" w:type="dxa"/>
            <w:tcBorders/>
            <w:vAlign w:val="center"/>
          </w:tcPr>
          <w:p>
            <w:pPr>
              <w:pStyle w:val="TableContents"/>
              <w:bidi w:val="0"/>
              <w:spacing w:before="0" w:after="283"/>
              <w:jc w:val="left"/>
              <w:rPr/>
            </w:pPr>
            <w:r>
              <w:rPr/>
              <w:t> </w:t>
            </w:r>
            <w:r>
              <w:rPr>
                <w:sz w:val="20"/>
              </w:rPr>
              <w:t>Shmuel Hess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5305" TargetMode="External"/><Relationship Id="rId5" Type="http://schemas.openxmlformats.org/officeDocument/2006/relationships/hyperlink" Target="http://www.sec.gov/cgi-bin/browse-edgar?action=getcompany&amp;CIK=00015939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1884</Words>
  <Characters>9766</Characters>
  <CharactersWithSpaces>11523</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