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Filed Pursuant to Rule 424(b)(5)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333-285908</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Prospectus dated March 27,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156845</wp:posOffset>
            </wp:positionV>
            <wp:extent cx="212598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598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MediWound Ltd.</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offering 1,200,000 ordinary shares, NIS 0.07 par value per share (“ordinary shares”) in this offering through this prospectus supplement and the accompanying prospectus.</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a high degree of risk. Please read “Risk Factors” beginning on page S-4, and under similar headings in the other documents that are incorporated by reference into this prospectus supplement and the accompanying prospectus.</w:t>
      </w:r>
    </w:p>
    <w:p>
      <w:pPr>
        <w:spacing w:after="0" w:line="15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the Israel Securities Authority,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“MDWD.” On November 2, 2026, the last reported sales price of our ordinary shares on the Nasdaq Global Market was $13.50 per share.</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offering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14,505,000</w:t>
            </w:r>
          </w:p>
        </w:tc>
      </w:tr>
    </w:tbl>
    <w:p>
      <w:pPr>
        <w:spacing w:after="0" w:line="198" w:lineRule="exact"/>
        <w:rPr>
          <w:sz w:val="24"/>
          <w:szCs w:val="24"/>
          <w:color w:val="auto"/>
        </w:rPr>
      </w:pPr>
    </w:p>
    <w:p>
      <w:pPr>
        <w:ind w:right="20" w:firstLine="8"/>
        <w:spacing w:after="0" w:line="282" w:lineRule="auto"/>
        <w:tabs>
          <w:tab w:leader="none" w:pos="2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blended underwriting discount. See “Underwriting” beginning on page S-17 of this prospectus supplement for additional information with respect to the compensation we will pay the underwriter.</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granted the underwriter an option for a period of up to 30 days from the date of this prospectus supplement to purchase up to 180,000 additional ordinary shares at the public offering price, less the underwriting discounts and commissions. If the underwriter exercises the option in full, the total underwriting discounts and commissions payable by us will be $601,750 and the total proceeds to us, before expenses, will be $16,648,250.</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ordinary shares is expected to be made on or about November 5, 2026, subject to customary closing conditions.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7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40" w:type="dxa"/>
            <w:vAlign w:val="bottom"/>
          </w:tcPr>
          <w:p>
            <w:pPr>
              <w:spacing w:after="0"/>
              <w:rPr>
                <w:sz w:val="20"/>
                <w:szCs w:val="20"/>
                <w:color w:val="auto"/>
              </w:rPr>
            </w:pPr>
          </w:p>
        </w:tc>
      </w:tr>
      <w:tr>
        <w:trPr>
          <w:trHeight w:val="432"/>
        </w:trPr>
        <w:tc>
          <w:tcPr>
            <w:tcW w:w="86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Prospectus Supplement</w:t>
            </w:r>
          </w:p>
        </w:tc>
        <w:tc>
          <w:tcPr>
            <w:tcW w:w="2640" w:type="dxa"/>
            <w:vAlign w:val="bottom"/>
          </w:tcPr>
          <w:p>
            <w:pPr>
              <w:spacing w:after="0"/>
              <w:rPr>
                <w:sz w:val="24"/>
                <w:szCs w:val="24"/>
                <w:color w:val="auto"/>
              </w:rPr>
            </w:pPr>
          </w:p>
        </w:tc>
      </w:tr>
      <w:tr>
        <w:trPr>
          <w:trHeight w:val="391"/>
        </w:trPr>
        <w:tc>
          <w:tcPr>
            <w:tcW w:w="86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0"/>
        </w:trPr>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PRESENTATION OF FINANCIAL INFORMATION</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334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MARKET, INDUSTRY AND OTHER DATA</w:t>
            </w:r>
          </w:p>
        </w:tc>
        <w:tc>
          <w:tcPr>
            <w:tcW w:w="540" w:type="dxa"/>
            <w:vAlign w:val="bottom"/>
            <w:tcBorders>
              <w:top w:val="single" w:sz="8" w:color="0000EE"/>
            </w:tcBorders>
            <w:gridSpan w:val="4"/>
          </w:tcPr>
          <w:p>
            <w:pPr>
              <w:spacing w:after="0"/>
              <w:rPr>
                <w:sz w:val="17"/>
                <w:szCs w:val="17"/>
                <w:color w:val="auto"/>
              </w:rPr>
            </w:pPr>
          </w:p>
        </w:tc>
        <w:tc>
          <w:tcPr>
            <w:tcW w:w="4720" w:type="dxa"/>
            <w:vAlign w:val="bottom"/>
            <w:gridSpan w:val="3"/>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58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00" w:type="dxa"/>
            <w:vAlign w:val="bottom"/>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33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5300" w:type="dxa"/>
            <w:vAlign w:val="bottom"/>
            <w:gridSpan w:val="8"/>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340" w:type="dxa"/>
            <w:vAlign w:val="bottom"/>
            <w:gridSpan w:val="22"/>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16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7000" w:type="dxa"/>
            <w:vAlign w:val="bottom"/>
            <w:gridSpan w:val="16"/>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DIVIDEND POLICY</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4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100" w:type="dxa"/>
            <w:vAlign w:val="bottom"/>
            <w:tcBorders>
              <w:top w:val="single" w:sz="8" w:color="0000EE"/>
            </w:tcBorders>
          </w:tcPr>
          <w:p>
            <w:pPr>
              <w:spacing w:after="0"/>
              <w:rPr>
                <w:sz w:val="17"/>
                <w:szCs w:val="17"/>
                <w:color w:val="auto"/>
              </w:rPr>
            </w:pPr>
          </w:p>
        </w:tc>
        <w:tc>
          <w:tcPr>
            <w:tcW w:w="7020" w:type="dxa"/>
            <w:vAlign w:val="bottom"/>
            <w:gridSpan w:val="17"/>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DILUTION</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TAXATION</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UNDERWRITING</w:t>
            </w:r>
          </w:p>
        </w:tc>
        <w:tc>
          <w:tcPr>
            <w:tcW w:w="7200" w:type="dxa"/>
            <w:vAlign w:val="bottom"/>
            <w:gridSpan w:val="21"/>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7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10"/>
          </w:tcPr>
          <w:p>
            <w:pPr>
              <w:spacing w:after="0"/>
              <w:rPr>
                <w:sz w:val="17"/>
                <w:szCs w:val="17"/>
                <w:color w:val="auto"/>
              </w:rPr>
            </w:pPr>
          </w:p>
        </w:tc>
        <w:tc>
          <w:tcPr>
            <w:tcW w:w="7140" w:type="dxa"/>
            <w:vAlign w:val="bottom"/>
            <w:gridSpan w:val="19"/>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453"/>
        </w:trPr>
        <w:tc>
          <w:tcPr>
            <w:tcW w:w="506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auto"/>
              </w:rPr>
              <w:t>Prospectus</w:t>
            </w:r>
          </w:p>
        </w:tc>
        <w:tc>
          <w:tcPr>
            <w:tcW w:w="3540" w:type="dxa"/>
            <w:vAlign w:val="bottom"/>
            <w:gridSpan w:val="2"/>
          </w:tcPr>
          <w:p>
            <w:pPr>
              <w:spacing w:after="0"/>
              <w:rPr>
                <w:sz w:val="24"/>
                <w:szCs w:val="24"/>
                <w:color w:val="auto"/>
              </w:rPr>
            </w:pPr>
          </w:p>
        </w:tc>
        <w:tc>
          <w:tcPr>
            <w:tcW w:w="2640" w:type="dxa"/>
            <w:vAlign w:val="bottom"/>
          </w:tcPr>
          <w:p>
            <w:pPr>
              <w:spacing w:after="0"/>
              <w:rPr>
                <w:sz w:val="24"/>
                <w:szCs w:val="24"/>
                <w:color w:val="auto"/>
              </w:rPr>
            </w:pPr>
          </w:p>
        </w:tc>
      </w:tr>
      <w:tr>
        <w:trPr>
          <w:trHeight w:val="392"/>
        </w:trPr>
        <w:tc>
          <w:tcPr>
            <w:tcW w:w="86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5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MediWound Ltd.</w:t>
            </w:r>
          </w:p>
        </w:tc>
        <w:tc>
          <w:tcPr>
            <w:tcW w:w="7020" w:type="dxa"/>
            <w:vAlign w:val="bottom"/>
            <w:gridSpan w:val="17"/>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320" w:type="dxa"/>
            <w:vAlign w:val="bottom"/>
            <w:tcBorders>
              <w:top w:val="single" w:sz="8" w:color="0000EE"/>
            </w:tcBorders>
            <w:gridSpan w:val="3"/>
          </w:tcPr>
          <w:p>
            <w:pPr>
              <w:spacing w:after="0"/>
              <w:rPr>
                <w:sz w:val="17"/>
                <w:szCs w:val="17"/>
                <w:color w:val="auto"/>
              </w:rPr>
            </w:pPr>
          </w:p>
        </w:tc>
        <w:tc>
          <w:tcPr>
            <w:tcW w:w="7360" w:type="dxa"/>
            <w:vAlign w:val="bottom"/>
            <w:gridSpan w:val="23"/>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1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40" w:type="dxa"/>
            <w:vAlign w:val="bottom"/>
            <w:tcBorders>
              <w:top w:val="single" w:sz="8" w:color="0000EE"/>
            </w:tcBorders>
            <w:gridSpan w:val="10"/>
          </w:tcPr>
          <w:p>
            <w:pPr>
              <w:spacing w:after="0"/>
              <w:rPr>
                <w:sz w:val="17"/>
                <w:szCs w:val="17"/>
                <w:color w:val="auto"/>
              </w:rPr>
            </w:pPr>
          </w:p>
        </w:tc>
        <w:tc>
          <w:tcPr>
            <w:tcW w:w="6480" w:type="dxa"/>
            <w:vAlign w:val="bottom"/>
            <w:gridSpan w:val="14"/>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Shareholder</w:t>
            </w:r>
          </w:p>
        </w:tc>
        <w:tc>
          <w:tcPr>
            <w:tcW w:w="7160" w:type="dxa"/>
            <w:vAlign w:val="bottom"/>
            <w:gridSpan w:val="20"/>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800" w:type="dxa"/>
            <w:vAlign w:val="bottom"/>
            <w:gridSpan w:val="15"/>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6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Ordinary Shares</w:t>
            </w: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2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0" w:type="dxa"/>
            <w:vAlign w:val="bottom"/>
            <w:tcBorders>
              <w:top w:val="single" w:sz="8" w:color="0000EE"/>
            </w:tcBorders>
          </w:tcPr>
          <w:p>
            <w:pPr>
              <w:spacing w:after="0"/>
              <w:rPr>
                <w:sz w:val="17"/>
                <w:szCs w:val="17"/>
                <w:color w:val="auto"/>
              </w:rPr>
            </w:pPr>
          </w:p>
        </w:tc>
        <w:tc>
          <w:tcPr>
            <w:tcW w:w="6340" w:type="dxa"/>
            <w:vAlign w:val="bottom"/>
            <w:gridSpan w:val="12"/>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160" w:type="dxa"/>
            <w:vAlign w:val="bottom"/>
            <w:gridSpan w:val="20"/>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0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Expenses Associated with the Registration</w:t>
            </w:r>
          </w:p>
        </w:tc>
        <w:tc>
          <w:tcPr>
            <w:tcW w:w="5520" w:type="dxa"/>
            <w:vAlign w:val="bottom"/>
            <w:gridSpan w:val="9"/>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Matters</w:t>
            </w:r>
          </w:p>
        </w:tc>
        <w:tc>
          <w:tcPr>
            <w:tcW w:w="7580" w:type="dxa"/>
            <w:vAlign w:val="bottom"/>
            <w:gridSpan w:val="25"/>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Experts</w:t>
            </w:r>
          </w:p>
        </w:tc>
        <w:tc>
          <w:tcPr>
            <w:tcW w:w="8040" w:type="dxa"/>
            <w:vAlign w:val="bottom"/>
            <w:gridSpan w:val="30"/>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5720" w:type="dxa"/>
            <w:vAlign w:val="bottom"/>
            <w:gridSpan w:val="10"/>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6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4940" w:type="dxa"/>
            <w:vAlign w:val="bottom"/>
            <w:gridSpan w:val="5"/>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Enforceability of Civil Liabilities</w:t>
            </w:r>
          </w:p>
        </w:tc>
        <w:tc>
          <w:tcPr>
            <w:tcW w:w="6180" w:type="dxa"/>
            <w:vAlign w:val="bottom"/>
            <w:gridSpan w:val="11"/>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information to you about this offering of ordinary shares in two separate documents that are bound together: (1) this prospectus supplement, which describes the specific details regarding this offering; and (2) the accompanying prospectus, dated March 27, 2025,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w:t>
      </w:r>
      <w:r>
        <w:rPr>
          <w:rFonts w:ascii="Arial" w:cs="Arial" w:eastAsia="Arial" w:hAnsi="Arial"/>
          <w:sz w:val="18"/>
          <w:szCs w:val="18"/>
          <w:color w:val="auto"/>
        </w:rPr>
        <w:t>‒</w:t>
      </w:r>
      <w:r>
        <w:rPr>
          <w:rFonts w:ascii="Times New Roman" w:cs="Times New Roman" w:eastAsia="Times New Roman" w:hAnsi="Times New Roman"/>
          <w:sz w:val="18"/>
          <w:szCs w:val="18"/>
          <w:color w:val="auto"/>
        </w:rPr>
        <w:t>for example, a document incorporated by reference in this prospectus supplement</w:t>
      </w:r>
      <w:r>
        <w:rPr>
          <w:rFonts w:ascii="Arial" w:cs="Arial" w:eastAsia="Arial" w:hAnsi="Arial"/>
          <w:sz w:val="18"/>
          <w:szCs w:val="18"/>
          <w:color w:val="auto"/>
        </w:rPr>
        <w:t>‒</w:t>
      </w:r>
      <w:r>
        <w:rPr>
          <w:rFonts w:ascii="Times New Roman" w:cs="Times New Roman" w:eastAsia="Times New Roman" w:hAnsi="Times New Roman"/>
          <w:sz w:val="18"/>
          <w:szCs w:val="18"/>
          <w:color w:val="auto"/>
        </w:rPr>
        <w:t>the statement in the document having the later date modifies or supersedes the earlier statement, as our business, financial condition, results of operations and prospects may have changed since the earlier dates.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in any free writing prospectus that we may authorize for use in connection with this offering. We have not, and the underwriter has not, authorized any other person to provide you with different information. If anyone provides you with different or inconsistent information, you should not rely on it. We are not, and the underwriter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 of this prospectus supplement entitled “Where You Can Find More Information” and in the sections of the accompanying prospectus entitled “Where You Can Find More Information” and “Incorporation of Certain Documents by Reference.”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ordinary shares only in jurisdictions where offers and sales are permitted. The distribution of this prospectus supplement, the accompanying prospectus and the offering of the ordinary shares in certain jurisdictions may be restricted by law. Persons outside the United States who come into possession of this prospectus supplement and the accompanying prospectus must inform themselves about, and observe any restrictions relating to, the offering of the ordinary shares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we refer to “MediWound,” “we,” “our,” “us” and the “Company” in this prospectus, we mean MediWound Ltd. and our consolidated subsidiaries unless otherwise specified.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our books and records in U.S. dollars and report under International Financial Reporting Standards (“IFRS”), as issued by the International Accounting Standards Board. None of the consolidated financial statements incorporated by reference into this prospectus supplement or the accompanying prospectus were prepared in accordance with generally accepted accounting principles in the United States.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“shekels,” “Israeli shekels” and “NIS” refer to New Israeli Shekels, the lawful currency of the State of Israel, the terms “dollar,” “US$,” or “$” refer to United States dollars, the lawful currency of the United States and the terms “Euros” or “€” refer to Euros, the lawful currency of the Eurozone.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information incorporated by reference into this prospectus supplement and the accompanying prospectus, and any free writing prospectus that we have authorized for use in connection with this offering, contain estimates, projections and other information concerning our industry, our business and the markets for our product candidates, including data regarding total sales of products, the addressable market and patient population, their projected growth rates, the perceptions and preferences of patients and physicians regarding the disease indications that we are pursuing or may pursue, as well as data regarding market research, estimates and forecasts prepared by our senior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not assume that other data of this type appearing in the same paragraph is derived from the same sources, unless otherwise expressly stated. Management estimates are identified separately and may differ from third-party findings. In addition, assumptions and estimates of our and our industry’s future performance are necessarily subject to a high degree of uncertainty and risk due to a variety of factors. These and other factors could cause our future performance to differ materially from our assumptions and estimates. See also “Cautionary Note Regarding Forward-Looking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historical facts, this prospectus supplement contains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We make forward-looking statements in this prospectus supplement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statements we make regarding the following matters are forward-looking by their nature:</w:t>
      </w:r>
    </w:p>
    <w:p>
      <w:pPr>
        <w:spacing w:after="0" w:line="225"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and the ability of our marketing team to cover European regional burn centers and units;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trials of NexoBrid, EscharEx and our other pipeline product candidates, including statements regarding the timing, progress and results of current and future preclinical studies and clinical trials, and our research and development programs;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potential advantages and timing or likelihood of regulatory filings and approvals of EscharEx and our other pipeline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growth, including our ability to develop new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our 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funding under our contracts with the U.S. Biomedical Advanced Research and Development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protection of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opportunity for NexoBrid, EscharEx and our other pipeline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duration of our inventory of intermediate drug substances and products;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research and development expenses as we continue developing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operational capacity of our factory;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filing of registration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These statements may also be found in the sections of our annual report on Form 20-F for the year ended December 31, 2025, filed with the United States Securities and Exchange Commission (“SEC”) on March 5, 2026 and incorporated by reference herein, entitled “ITEM 3.D. Risk Factors,” “ITEM 4. Information on the Company,” “ITEM 5. Operating and Financial Review and Prospects,” “ITEM 10.E. Taxation-United States Federal Income Taxation-Passive Foreign Investment Company Considerations” and elsewhere in that annual report, including the sections entitled “ITEM 4.B. Business Overview” and “ITEM 4.B. Business Overview-Our Focus,” which contain information obtained from independent industry sources.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delays in, or failure to complete, enrollment of our VALUE Phase III trial of EscharEx, or unsuccessful or inconclusive results of that trial; uncertainty as to the timing or receipt of regulatory approvals for EscharEx and our other pipeline products; delays, interruptions or capacity constraints in the scale-up of manufacturing at our Yavne facility or in our supply of intermediate drug substances; our need for, and the availability of, additional financing on acceptable terms; and the risks discussed in the section entitled “Risk Factors” below and in the section of our annual report on Form 20-F for the year ended December 31, 2025 entitled “ITEM 3.D. Risk Factors” and information contained in other documents we file with the SEC.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publicly update any forward-looking statements for any reason after the date of this prospectus supplement to conform these statements to actual results or to changes in our expectations.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7423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423785"/>
                    </a:xfrm>
                    <a:prstGeom prst="rect">
                      <a:avLst/>
                    </a:prstGeom>
                    <a:noFill/>
                  </pic:spPr>
                </pic:pic>
              </a:graphicData>
            </a:graphic>
          </wp:anchor>
        </w:drawing>
        <w:t>PROSPECTUS SUPPLEMENT SUMMARY</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This summary does not contain all of the information you should consider before investing in our ordinary shares. You should read this summary together with the more detailed information appearing in this prospectus supplement and the accompanying prospectus, including under the section entitled “Risk Factors,” and in the sections entitled “Risk Factors,” “Operating and Financial Review and Prospects,” “Information on the Company” and our consolidated financial statements and the related notes thereto in our other public filings which are incorporated by reference herein, before making an investment in our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global leader in next-generation enzymatic therapeutics for tissue repair. Our solutions selectively remove non-viable hazardous tissue while preserving healthy tissue, offering an alternative to traditional methods. With robust in-house research, development, and manufacturing capabilities, we produce and commercialize biologics for wound and burn care that exceed existing standards of care, improve patient outcomes, and reduce healthcare costs by eliminating the need for surgical interventions. Our flagship product, NexoBrid, is a topically administered biologic for the enzymatic removal of eschar in patients with deep partial- and full-thickness thermal burns. It selectively removes non-viable tissue while preserving viable tissue and is approved for use in adults and pediatric patients in over 40 countries, including the United States, the European Union, and Japan. Building on our proprietary enzymatic technology, we are advancing EscharEx, a bromelain-based, bioactive enzymatic therapy in advanced clinical development for the debridement of chronic and hard-to-heal wounds. Designed for topical, once-daily use, EscharEx has demonstrated effective wound bed preparation and a favorable safety profile in multiple Phase II studies. It enables rapid removal of non-viable tissue while promoting granulation tissue formation and reducing bioburden and biofilm. The global Phase III VALUE trial in venous leg ulcers (VLU) is underway, with additional clinical studies planned in diabetic foot ulcers (DFU) and pressure ulcers (PU). EscharEx has demonstrated advantages over the leading enzymatic debridement agent and targets a substantial global market opportunity.</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pipeline also includes MW005, a topical therapeutic for the treatment of basal cell carcinoma that has demonstrated positive results in a Phase I/II study. We manufacture NexoBrid and our product candidates in our cGMP certified sterile manufacturing facility at our headquarters in Yavne,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Financial Information for the Quarter Ended September 30, 2026</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set forth under “Recent Developments” are preliminary, have not been audited and are subject to change pending completion of our unaudited financial statements for the quarter ended September 30, 2026. Additional information and disclosures would be required for a more complete understanding of our financial position and results of operations as of September 30, 2026. Our independent registered public accounting firm has not audited, reviewed or performed any procedures with respect to these preliminary results and, accordingly, does not express an opinion or any other form of assurance about them.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Financial Highlights</w:t>
      </w:r>
    </w:p>
    <w:p>
      <w:pPr>
        <w:spacing w:after="0" w:line="227" w:lineRule="exact"/>
        <w:rPr>
          <w:sz w:val="20"/>
          <w:szCs w:val="20"/>
          <w:color w:val="auto"/>
        </w:rPr>
      </w:pPr>
    </w:p>
    <w:p>
      <w:pPr>
        <w:jc w:val="both"/>
        <w:ind w:left="1080" w:right="20" w:hanging="531"/>
        <w:spacing w:after="0" w:line="265" w:lineRule="auto"/>
        <w:tabs>
          <w:tab w:leader="none" w:pos="10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We expect revenue for the third quarter of 2026 to be approximately $3.6 million, compared with $5.4 million for the third quarter of 2025. The expected decrease is primarily attributable to lower revenue from development services related to the U.S. government.</w:t>
      </w:r>
    </w:p>
    <w:p>
      <w:pPr>
        <w:spacing w:after="0" w:line="177" w:lineRule="exact"/>
        <w:rPr>
          <w:rFonts w:ascii="Arial" w:cs="Arial" w:eastAsia="Arial" w:hAnsi="Arial"/>
          <w:sz w:val="18"/>
          <w:szCs w:val="18"/>
          <w:b w:val="1"/>
          <w:bCs w:val="1"/>
          <w:color w:val="auto"/>
        </w:rPr>
      </w:pPr>
    </w:p>
    <w:p>
      <w:pPr>
        <w:ind w:left="1080" w:right="20" w:hanging="531"/>
        <w:spacing w:after="0" w:line="281" w:lineRule="auto"/>
        <w:tabs>
          <w:tab w:leader="none" w:pos="10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position. As of September 30, 2026, cash, cash equivalents and deposits totaled approximately $28.4 million, compared with $53.6 million at year-end 2025.</w:t>
      </w:r>
    </w:p>
    <w:p>
      <w:pPr>
        <w:spacing w:after="0" w:line="162" w:lineRule="exact"/>
        <w:rPr>
          <w:rFonts w:ascii="Arial" w:cs="Arial" w:eastAsia="Arial" w:hAnsi="Arial"/>
          <w:sz w:val="18"/>
          <w:szCs w:val="18"/>
          <w:b w:val="1"/>
          <w:bCs w:val="1"/>
          <w:color w:val="auto"/>
        </w:rPr>
      </w:pPr>
    </w:p>
    <w:p>
      <w:pPr>
        <w:jc w:val="both"/>
        <w:ind w:left="1080" w:hanging="531"/>
        <w:spacing w:after="0" w:line="265" w:lineRule="auto"/>
        <w:tabs>
          <w:tab w:leader="none" w:pos="10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Warrant and option exercises. We received aggregate gross proceeds of approximately $1.2 million from the exercise of warrants and options during the last quarter. As of the date of this prospectus supplement, warrants to purchase approximately 2.13 million ordinary shares, with an exercise price of $13.475 per share, remain outstanding and expire on November 27, 2026.</w:t>
      </w:r>
    </w:p>
    <w:p>
      <w:pPr>
        <w:spacing w:after="0" w:line="177" w:lineRule="exact"/>
        <w:rPr>
          <w:rFonts w:ascii="Arial" w:cs="Arial" w:eastAsia="Arial" w:hAnsi="Arial"/>
          <w:sz w:val="18"/>
          <w:szCs w:val="18"/>
          <w:b w:val="1"/>
          <w:bCs w:val="1"/>
          <w:color w:val="auto"/>
        </w:rPr>
      </w:pPr>
    </w:p>
    <w:p>
      <w:pPr>
        <w:jc w:val="both"/>
        <w:ind w:left="1080" w:hanging="531"/>
        <w:spacing w:after="0" w:line="260" w:lineRule="auto"/>
        <w:tabs>
          <w:tab w:leader="none" w:pos="10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 services revenue. A substantial portion of the revenue we anticipated for 2026 relates to development services associated with a planned U.S.-based manufacturing facility, which is the subject of ongoing discussions with the U.S. government. The outcome of these discussions, and the subsequent execution of the related activities, remain uncertain. As a result, we have limited visibility when or whether this revenue will be recognized.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914"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052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052185"/>
                    </a:xfrm>
                    <a:prstGeom prst="rect">
                      <a:avLst/>
                    </a:prstGeom>
                    <a:noFill/>
                  </pic:spPr>
                </pic:pic>
              </a:graphicData>
            </a:graphic>
          </wp:anchor>
        </w:drawing>
        <w:t>Business and Clinical Developments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EscharEx®:</w:t>
      </w:r>
    </w:p>
    <w:p>
      <w:pPr>
        <w:spacing w:after="0" w:line="229" w:lineRule="exact"/>
        <w:rPr>
          <w:sz w:val="20"/>
          <w:szCs w:val="20"/>
          <w:color w:val="auto"/>
        </w:rPr>
      </w:pPr>
    </w:p>
    <w:p>
      <w:pPr>
        <w:jc w:val="both"/>
        <w:ind w:left="1080" w:right="20" w:hanging="531"/>
        <w:spacing w:after="0" w:line="265" w:lineRule="auto"/>
        <w:tabs>
          <w:tab w:leader="none" w:pos="10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VALUE Phase III trial (venous leg ulcers). Enrollment continues in our global Phase III VALUE trial of EscharEx in venous leg ulcers, which targets 216 patients at approximately 40 sites in the United States, Europe and Israel. The pre-specified interim sample size reassessment and completion of enrollment remain on track for the end of the first quarter of 2027.</w:t>
      </w:r>
    </w:p>
    <w:p>
      <w:pPr>
        <w:spacing w:after="0" w:line="177" w:lineRule="exact"/>
        <w:rPr>
          <w:rFonts w:ascii="Arial" w:cs="Arial" w:eastAsia="Arial" w:hAnsi="Arial"/>
          <w:sz w:val="18"/>
          <w:szCs w:val="18"/>
          <w:b w:val="1"/>
          <w:bCs w:val="1"/>
          <w:color w:val="auto"/>
        </w:rPr>
      </w:pPr>
    </w:p>
    <w:p>
      <w:pPr>
        <w:ind w:left="1080" w:right="20" w:hanging="531"/>
        <w:spacing w:after="0" w:line="281" w:lineRule="auto"/>
        <w:tabs>
          <w:tab w:leader="none" w:pos="10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DSMB review. The independent Data and Safety Monitoring Board (DSMB) completed its pre-specified periodic safety review of the VALUE trial, did not identify any safety concerns, and recommended that the study continue as planned without modification.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29" w:lineRule="exact"/>
        <w:rPr>
          <w:sz w:val="20"/>
          <w:szCs w:val="20"/>
          <w:color w:val="auto"/>
        </w:rPr>
      </w:pPr>
    </w:p>
    <w:p>
      <w:pPr>
        <w:jc w:val="both"/>
        <w:ind w:left="1080" w:right="20" w:hanging="531"/>
        <w:spacing w:after="0" w:line="260" w:lineRule="auto"/>
        <w:tabs>
          <w:tab w:leader="none" w:pos="10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Department of War funding. The U.S. Department of War (also referred to as the Department of Defense) ("DoW") awarded us an additional $3.3 million in non-dilutive funding to advance a room-temperature-stable formulation of NexoBrid as a non-surgical debridement solution for battlefield burn care. The program has a total budget of $21.8 million and is intended to support development through submission of an Investigational New Drug application.</w:t>
      </w:r>
    </w:p>
    <w:p>
      <w:pPr>
        <w:spacing w:after="0" w:line="182" w:lineRule="exact"/>
        <w:rPr>
          <w:rFonts w:ascii="Arial" w:cs="Arial" w:eastAsia="Arial" w:hAnsi="Arial"/>
          <w:sz w:val="18"/>
          <w:szCs w:val="18"/>
          <w:b w:val="1"/>
          <w:bCs w:val="1"/>
          <w:color w:val="auto"/>
        </w:rPr>
      </w:pPr>
    </w:p>
    <w:p>
      <w:pPr>
        <w:jc w:val="both"/>
        <w:ind w:left="1080" w:hanging="531"/>
        <w:spacing w:after="0" w:line="265" w:lineRule="auto"/>
        <w:tabs>
          <w:tab w:leader="none" w:pos="10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GMP inspection. Our NexoBrid manufacturing facility completed its routine Good Manufacturing Practice (GMP) inspection by the Israeli Ministry of Health (IMOH), which also serves as the inspection for the European Medicines Agency (EMA). The facility's GMP certification is valid for an additional two years.</w:t>
      </w:r>
    </w:p>
    <w:p>
      <w:pPr>
        <w:spacing w:after="0" w:line="177" w:lineRule="exact"/>
        <w:rPr>
          <w:rFonts w:ascii="Arial" w:cs="Arial" w:eastAsia="Arial" w:hAnsi="Arial"/>
          <w:sz w:val="18"/>
          <w:szCs w:val="18"/>
          <w:b w:val="1"/>
          <w:bCs w:val="1"/>
          <w:color w:val="auto"/>
        </w:rPr>
      </w:pPr>
    </w:p>
    <w:p>
      <w:pPr>
        <w:jc w:val="both"/>
        <w:ind w:left="1080" w:right="20" w:hanging="531"/>
        <w:spacing w:after="0" w:line="265" w:lineRule="auto"/>
        <w:tabs>
          <w:tab w:leader="none" w:pos="10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Expanded manufacturing facility. We are implementing the modifications requested by the EMA following its pre-audit of our expanded NexoBrid manufacturing facility, and we expect to complete them in the fourth quarter of 2026, as planned. Commercial supply from the expanded facility remains subject to regulatory approval and is expected in the second half of 2027.</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contains forward-looking statements, including statements about our expected financial results, clinical trial timelines, regulatory and manufacturing milestones, and revenue timing. These statements are subject to the risks described under “Cautionary Note Regarding Forward-Looking Statements” and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Israel on January 27, 2000. Our principal executive offices are located at 42 Hayarkon Street, Yavne 8122745, Israel, and our telephone number is +972-77-971-4100. Our website is www.MediWound.com. The information contained on, or that can be accessed through, our website does not constitute a part of this prospectus supplement and is not incorporated by reference herein. Our agent for service of process in the United States is Puglisi &amp; Associates, located at 850 Library Avenue, Suite 204, Newark, Delaware 19711, and its telephone number is +1 (302) 738-6680.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this prospectus, we refer to various trademarks, service marks and trade names that we use in our business. The “MediWound” design logo, “MediWound,” “NexoBrid,” “EscharEx” and other trademarks or service marks of MediWound Ltd. appearing in this prospectus are the property of MediWound Ltd. We have several other registered trademarks, service marks and pending applications relating to our products. Although we have omitted the “®”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808"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38"/>
        </w:trPr>
        <w:tc>
          <w:tcPr>
            <w:tcW w:w="20" w:type="dxa"/>
            <w:vAlign w:val="bottom"/>
            <w:tcBorders>
              <w:top w:val="single" w:sz="8" w:color="auto"/>
            </w:tcBorders>
            <w:shd w:val="clear" w:color="auto" w:fill="000000"/>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3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Ordinary shares we are offering</w:t>
            </w:r>
          </w:p>
        </w:tc>
        <w:tc>
          <w:tcPr>
            <w:tcW w:w="7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60" w:type="dxa"/>
            <w:vAlign w:val="bottom"/>
            <w:vMerge w:val="continue"/>
          </w:tcPr>
          <w:p>
            <w:pPr>
              <w:spacing w:after="0"/>
              <w:rPr>
                <w:sz w:val="22"/>
                <w:szCs w:val="22"/>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1,200,000 ordinary shares.</w:t>
            </w:r>
          </w:p>
        </w:tc>
        <w:tc>
          <w:tcPr>
            <w:tcW w:w="0" w:type="dxa"/>
            <w:vAlign w:val="bottom"/>
          </w:tcPr>
          <w:p>
            <w:pPr>
              <w:spacing w:after="0"/>
              <w:rPr>
                <w:sz w:val="1"/>
                <w:szCs w:val="1"/>
                <w:color w:val="auto"/>
              </w:rPr>
            </w:pPr>
          </w:p>
        </w:tc>
      </w:tr>
      <w:tr>
        <w:trPr>
          <w:trHeight w:val="40"/>
        </w:trPr>
        <w:tc>
          <w:tcPr>
            <w:tcW w:w="20" w:type="dxa"/>
            <w:vAlign w:val="bottom"/>
            <w:tcBorders>
              <w:bottom w:val="single" w:sz="8" w:color="999999"/>
            </w:tcBorders>
          </w:tcPr>
          <w:p>
            <w:pPr>
              <w:spacing w:after="0"/>
              <w:rPr>
                <w:sz w:val="3"/>
                <w:szCs w:val="3"/>
                <w:color w:val="auto"/>
              </w:rPr>
            </w:pPr>
          </w:p>
        </w:tc>
        <w:tc>
          <w:tcPr>
            <w:tcW w:w="3960" w:type="dxa"/>
            <w:vAlign w:val="bottom"/>
            <w:tcBorders>
              <w:bottom w:val="single" w:sz="8" w:color="999999"/>
            </w:tcBorders>
          </w:tcPr>
          <w:p>
            <w:pPr>
              <w:spacing w:after="0"/>
              <w:rPr>
                <w:sz w:val="3"/>
                <w:szCs w:val="3"/>
                <w:color w:val="auto"/>
              </w:rPr>
            </w:pPr>
          </w:p>
        </w:tc>
        <w:tc>
          <w:tcPr>
            <w:tcW w:w="726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Option to purchase additional ordinary shares</w:t>
            </w: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have granted the underwriter an option for a period of 30 days after the date of this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prospectus supplement to purchase up to an additional 180,000 ordinary shares at the public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offering price, less the underwriting discounts and commissions.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5730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730240"/>
                    </a:xfrm>
                    <a:prstGeom prst="rect">
                      <a:avLst/>
                    </a:prstGeom>
                    <a:noFill/>
                  </pic:spPr>
                </pic:pic>
              </a:graphicData>
            </a:graphic>
          </wp:anchor>
        </w:drawing>
      </w:r>
    </w:p>
    <w:p>
      <w:pPr>
        <w:spacing w:after="0" w:line="52" w:lineRule="exact"/>
        <w:rPr>
          <w:sz w:val="20"/>
          <w:szCs w:val="20"/>
          <w:color w:val="auto"/>
        </w:rPr>
      </w:pPr>
    </w:p>
    <w:p>
      <w:pPr>
        <w:ind w:left="60"/>
        <w:spacing w:after="0"/>
        <w:tabs>
          <w:tab w:leader="none" w:pos="4300" w:val="left"/>
        </w:tabs>
        <w:rPr>
          <w:sz w:val="20"/>
          <w:szCs w:val="20"/>
          <w:color w:val="auto"/>
        </w:rPr>
      </w:pPr>
      <w:r>
        <w:rPr>
          <w:rFonts w:ascii="Times New Roman" w:cs="Times New Roman" w:eastAsia="Times New Roman" w:hAnsi="Times New Roman"/>
          <w:sz w:val="18"/>
          <w:szCs w:val="18"/>
          <w:b w:val="1"/>
          <w:bCs w:val="1"/>
          <w:color w:val="auto"/>
        </w:rPr>
        <w:t>Ordinary shares to be outstanding immediately after</w:t>
      </w:r>
      <w:r>
        <w:rPr>
          <w:sz w:val="20"/>
          <w:szCs w:val="20"/>
          <w:color w:val="auto"/>
        </w:rPr>
        <w:tab/>
      </w:r>
      <w:r>
        <w:rPr>
          <w:rFonts w:ascii="Times New Roman" w:cs="Times New Roman" w:eastAsia="Times New Roman" w:hAnsi="Times New Roman"/>
          <w:sz w:val="17"/>
          <w:szCs w:val="17"/>
          <w:color w:val="auto"/>
        </w:rPr>
        <w:t>14,210,217 ordinary shares (or 14,390,217 ordinary shares if the underwriter exercises 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Borders>
              <w:bottom w:val="single" w:sz="8" w:color="999999"/>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7860" w:type="dxa"/>
            <w:vAlign w:val="bottom"/>
            <w:tcBorders>
              <w:bottom w:val="single" w:sz="8" w:color="999999"/>
            </w:tcBorders>
          </w:tcPr>
          <w:p>
            <w:pPr>
              <w:ind w:left="940"/>
              <w:spacing w:after="0"/>
              <w:rPr>
                <w:sz w:val="20"/>
                <w:szCs w:val="20"/>
                <w:color w:val="auto"/>
              </w:rPr>
            </w:pPr>
            <w:r>
              <w:rPr>
                <w:rFonts w:ascii="Times New Roman" w:cs="Times New Roman" w:eastAsia="Times New Roman" w:hAnsi="Times New Roman"/>
                <w:sz w:val="18"/>
                <w:szCs w:val="18"/>
                <w:color w:val="auto"/>
              </w:rPr>
              <w:t>option to purchase additional shares in full).</w:t>
            </w:r>
          </w:p>
        </w:tc>
      </w:tr>
      <w:tr>
        <w:trPr>
          <w:trHeight w:val="238"/>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We intend to use the net proceeds for working capital and general corporate purposes. See</w:t>
            </w:r>
          </w:p>
        </w:tc>
      </w:tr>
      <w:tr>
        <w:trPr>
          <w:trHeight w:val="216"/>
        </w:trPr>
        <w:tc>
          <w:tcPr>
            <w:tcW w:w="3380" w:type="dxa"/>
            <w:vAlign w:val="bottom"/>
          </w:tcPr>
          <w:p>
            <w:pPr>
              <w:spacing w:after="0"/>
              <w:rPr>
                <w:sz w:val="18"/>
                <w:szCs w:val="18"/>
                <w:color w:val="auto"/>
              </w:rPr>
            </w:pPr>
          </w:p>
        </w:tc>
        <w:tc>
          <w:tcPr>
            <w:tcW w:w="7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“Use of</w:t>
            </w:r>
          </w:p>
        </w:tc>
      </w:tr>
      <w:tr>
        <w:trPr>
          <w:trHeight w:val="234"/>
        </w:trPr>
        <w:tc>
          <w:tcPr>
            <w:tcW w:w="3380" w:type="dxa"/>
            <w:vAlign w:val="bottom"/>
          </w:tcPr>
          <w:p>
            <w:pPr>
              <w:spacing w:after="0"/>
              <w:rPr>
                <w:sz w:val="20"/>
                <w:szCs w:val="20"/>
                <w:color w:val="auto"/>
              </w:rPr>
            </w:pPr>
          </w:p>
        </w:tc>
        <w:tc>
          <w:tcPr>
            <w:tcW w:w="7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Proceeds” on page S - 5.</w:t>
            </w:r>
          </w:p>
        </w:tc>
      </w:tr>
      <w:tr>
        <w:trPr>
          <w:trHeight w:val="41"/>
        </w:trPr>
        <w:tc>
          <w:tcPr>
            <w:tcW w:w="3380" w:type="dxa"/>
            <w:vAlign w:val="bottom"/>
            <w:tcBorders>
              <w:bottom w:val="single" w:sz="8" w:color="999999"/>
            </w:tcBorders>
          </w:tcPr>
          <w:p>
            <w:pPr>
              <w:spacing w:after="0"/>
              <w:rPr>
                <w:sz w:val="3"/>
                <w:szCs w:val="3"/>
                <w:color w:val="auto"/>
              </w:rPr>
            </w:pPr>
          </w:p>
        </w:tc>
        <w:tc>
          <w:tcPr>
            <w:tcW w:w="7860" w:type="dxa"/>
            <w:vAlign w:val="bottom"/>
            <w:tcBorders>
              <w:bottom w:val="single" w:sz="8" w:color="999999"/>
            </w:tcBorders>
          </w:tcPr>
          <w:p>
            <w:pPr>
              <w:spacing w:after="0"/>
              <w:rPr>
                <w:sz w:val="3"/>
                <w:szCs w:val="3"/>
                <w:color w:val="auto"/>
              </w:rPr>
            </w:pPr>
          </w:p>
        </w:tc>
      </w:tr>
      <w:tr>
        <w:trPr>
          <w:trHeight w:val="232"/>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 prospectus supplement for a</w:t>
            </w:r>
          </w:p>
        </w:tc>
      </w:tr>
      <w:tr>
        <w:trPr>
          <w:trHeight w:val="216"/>
        </w:trPr>
        <w:tc>
          <w:tcPr>
            <w:tcW w:w="3380" w:type="dxa"/>
            <w:vAlign w:val="bottom"/>
          </w:tcPr>
          <w:p>
            <w:pPr>
              <w:spacing w:after="0"/>
              <w:rPr>
                <w:sz w:val="18"/>
                <w:szCs w:val="18"/>
                <w:color w:val="auto"/>
              </w:rPr>
            </w:pPr>
          </w:p>
        </w:tc>
        <w:tc>
          <w:tcPr>
            <w:tcW w:w="7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discussion of factors that you should consider carefully before deciding to invest in our</w:t>
            </w:r>
          </w:p>
        </w:tc>
      </w:tr>
      <w:tr>
        <w:trPr>
          <w:trHeight w:val="234"/>
        </w:trPr>
        <w:tc>
          <w:tcPr>
            <w:tcW w:w="3380" w:type="dxa"/>
            <w:vAlign w:val="bottom"/>
          </w:tcPr>
          <w:p>
            <w:pPr>
              <w:spacing w:after="0"/>
              <w:rPr>
                <w:sz w:val="20"/>
                <w:szCs w:val="20"/>
                <w:color w:val="auto"/>
              </w:rPr>
            </w:pPr>
          </w:p>
        </w:tc>
        <w:tc>
          <w:tcPr>
            <w:tcW w:w="7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41"/>
        </w:trPr>
        <w:tc>
          <w:tcPr>
            <w:tcW w:w="3380" w:type="dxa"/>
            <w:vAlign w:val="bottom"/>
            <w:tcBorders>
              <w:bottom w:val="single" w:sz="8" w:color="999999"/>
            </w:tcBorders>
          </w:tcPr>
          <w:p>
            <w:pPr>
              <w:spacing w:after="0"/>
              <w:rPr>
                <w:sz w:val="3"/>
                <w:szCs w:val="3"/>
                <w:color w:val="auto"/>
              </w:rPr>
            </w:pPr>
          </w:p>
        </w:tc>
        <w:tc>
          <w:tcPr>
            <w:tcW w:w="7860" w:type="dxa"/>
            <w:vAlign w:val="bottom"/>
            <w:tcBorders>
              <w:bottom w:val="single" w:sz="8" w:color="999999"/>
            </w:tcBorders>
          </w:tcPr>
          <w:p>
            <w:pPr>
              <w:spacing w:after="0"/>
              <w:rPr>
                <w:sz w:val="3"/>
                <w:szCs w:val="3"/>
                <w:color w:val="auto"/>
              </w:rPr>
            </w:pPr>
          </w:p>
        </w:tc>
      </w:tr>
      <w:tr>
        <w:trPr>
          <w:trHeight w:val="250"/>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7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“MDWD”</w:t>
            </w:r>
          </w:p>
        </w:tc>
      </w:tr>
      <w:tr>
        <w:trPr>
          <w:trHeight w:val="40"/>
        </w:trPr>
        <w:tc>
          <w:tcPr>
            <w:tcW w:w="3380" w:type="dxa"/>
            <w:vAlign w:val="bottom"/>
            <w:tcBorders>
              <w:bottom w:val="single" w:sz="8" w:color="999999"/>
            </w:tcBorders>
          </w:tcPr>
          <w:p>
            <w:pPr>
              <w:spacing w:after="0"/>
              <w:rPr>
                <w:sz w:val="3"/>
                <w:szCs w:val="3"/>
                <w:color w:val="auto"/>
              </w:rPr>
            </w:pPr>
          </w:p>
        </w:tc>
        <w:tc>
          <w:tcPr>
            <w:tcW w:w="7860" w:type="dxa"/>
            <w:vAlign w:val="bottom"/>
            <w:tcBorders>
              <w:bottom w:val="single" w:sz="8" w:color="999999"/>
            </w:tcBorders>
          </w:tcPr>
          <w:p>
            <w:pPr>
              <w:spacing w:after="0"/>
              <w:rPr>
                <w:sz w:val="3"/>
                <w:szCs w:val="3"/>
                <w:color w:val="auto"/>
              </w:rPr>
            </w:pPr>
          </w:p>
        </w:tc>
      </w:tr>
    </w:tbl>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Unless otherwise stated, the number of ordinary shares to be outstanding after this offering is based on 13,010,217 ordinary shares outstanding as of</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September 30, 2026 , and excludes the following as of that date:</w:t>
      </w:r>
    </w:p>
    <w:p>
      <w:pPr>
        <w:spacing w:after="0" w:line="207" w:lineRule="exact"/>
        <w:rPr>
          <w:sz w:val="20"/>
          <w:szCs w:val="20"/>
          <w:color w:val="auto"/>
        </w:rPr>
      </w:pPr>
    </w:p>
    <w:p>
      <w:pPr>
        <w:ind w:left="1200" w:right="140" w:hanging="531"/>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1,479,362 ordinary shares issuable upon the exercise of share options outstanding as of September 30, 2026, at a weighted average exercise price of $15.79 per share;</w:t>
      </w:r>
    </w:p>
    <w:p>
      <w:pPr>
        <w:spacing w:after="0" w:line="161" w:lineRule="exact"/>
        <w:rPr>
          <w:rFonts w:ascii="Times New Roman" w:cs="Times New Roman" w:eastAsia="Times New Roman" w:hAnsi="Times New Roman"/>
          <w:sz w:val="18"/>
          <w:szCs w:val="18"/>
          <w:color w:val="auto"/>
        </w:rPr>
      </w:pPr>
    </w:p>
    <w:p>
      <w:pPr>
        <w:ind w:left="1200" w:hanging="531"/>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53,394 ordinary shares issuable upon the settlement of restricted share units (“RSUs”) outstanding as of September 30, 2026;</w:t>
      </w:r>
    </w:p>
    <w:p>
      <w:pPr>
        <w:spacing w:after="0" w:line="225" w:lineRule="exact"/>
        <w:rPr>
          <w:rFonts w:ascii="Times New Roman" w:cs="Times New Roman" w:eastAsia="Times New Roman" w:hAnsi="Times New Roman"/>
          <w:sz w:val="18"/>
          <w:szCs w:val="18"/>
          <w:color w:val="auto"/>
        </w:rPr>
      </w:pPr>
    </w:p>
    <w:p>
      <w:pPr>
        <w:ind w:left="1200" w:right="140" w:hanging="531"/>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157,662 ordinary shares reserved for issuance pursuant to future awards under our 2024 Equity Incentive Plan as of September 30, 2026; and</w:t>
      </w:r>
    </w:p>
    <w:p>
      <w:pPr>
        <w:spacing w:after="0" w:line="161" w:lineRule="exact"/>
        <w:rPr>
          <w:rFonts w:ascii="Times New Roman" w:cs="Times New Roman" w:eastAsia="Times New Roman" w:hAnsi="Times New Roman"/>
          <w:sz w:val="18"/>
          <w:szCs w:val="18"/>
          <w:color w:val="auto"/>
        </w:rPr>
      </w:pPr>
    </w:p>
    <w:p>
      <w:pPr>
        <w:jc w:val="both"/>
        <w:ind w:left="1200" w:right="120" w:hanging="531"/>
        <w:spacing w:after="0" w:line="258"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2,125,828 ordinary shares issuable upon the exercise of currently outstanding warrants that we issued in our previous Private Investment in Public Equity (PIPE) and registered direct offerings (including warrants issued to H.C. Wainwright &amp; Co., LLC (“HCW”) (or its designees) as compensation in connection with those offerings), which were each effected pursuant to a securities purchase agreement, each dated as of September 22, 2022, by and among us and the purchasers named therein (the “2022 Offerings”), which warrants are exercisable at an exercise price of $13.475 or $15.31 per share, as applicable.</w:t>
      </w:r>
    </w:p>
    <w:p>
      <w:pPr>
        <w:spacing w:after="0" w:line="183" w:lineRule="exact"/>
        <w:rPr>
          <w:sz w:val="20"/>
          <w:szCs w:val="20"/>
          <w:color w:val="auto"/>
        </w:rPr>
      </w:pPr>
    </w:p>
    <w:p>
      <w:pPr>
        <w:ind w:left="140" w:right="62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by the underwriter of its option to purchase additional ordinary shares and gives no effect to:</w:t>
      </w:r>
    </w:p>
    <w:p>
      <w:pPr>
        <w:spacing w:after="0" w:line="162" w:lineRule="exact"/>
        <w:rPr>
          <w:sz w:val="20"/>
          <w:szCs w:val="20"/>
          <w:color w:val="auto"/>
        </w:rPr>
      </w:pPr>
    </w:p>
    <w:p>
      <w:pPr>
        <w:ind w:left="1200" w:right="140" w:hanging="531"/>
        <w:spacing w:after="0" w:line="282"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the 2,125,828 currently outstanding warrants (as of September 30, 2026) that had been issued in the 2022 Offerings (including warrants issued to HCW (or its designees) as compensation in connection with the 2022 Offerings); and</w:t>
      </w:r>
    </w:p>
    <w:p>
      <w:pPr>
        <w:spacing w:after="0" w:line="161" w:lineRule="exact"/>
        <w:rPr>
          <w:rFonts w:ascii="Times New Roman" w:cs="Times New Roman" w:eastAsia="Times New Roman" w:hAnsi="Times New Roman"/>
          <w:sz w:val="18"/>
          <w:szCs w:val="18"/>
          <w:color w:val="auto"/>
        </w:rPr>
      </w:pPr>
    </w:p>
    <w:p>
      <w:pPr>
        <w:ind w:left="1200" w:right="140" w:hanging="531"/>
        <w:spacing w:after="0" w:line="282"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1,532,756 ordinary shares upon the exercise of 1,479,362 outstanding share options and/or vesting of 53,394 outstanding RSUs under our 2024 Equity Incentive Plan (such number is as of September 30, 2026).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You should carefully consider the risks and uncertainties described below and discussed in our Annual Report on Form 20-F for the year ended December 31, 2025, filed with the SEC on March 5, 2026, which is incorporated by reference in this prospectus supplement in its entirety, in addition to the other information set forth in this prospectus supplement and the accompanying prospectus, or incorporated by reference herein and therein, including the consolidated financial statements and the related notes incorporated by reference in this prospectus supplement, before purchasing our ordinary shares. If any of the following risks actually occurs, our business, financial condition, cash flows, and results of operations could be materially adversely affected. In that case, the trading price of our ordinary shares would likely decline and you might lose all or part of your investment. The risks described below are not the only risks we face. Additional risks and uncertainties not currently known to us or that we currently deem to be immaterial may also materially adversely affect our business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the sale of our products, we expect to finance our cash needs through a combination of equity offerings, debt financings and license and development agreements. We do not currently have any committed external source of funds. To the extent that we raise additional capital through the further sale of equity securities or convertible debt securities, your ownership interest will be diluted, and the terms of these securities may include liquidation or other preferences that adversely affect your rights as a shareholder.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clinical development of our pipeline products or future commercialization efforts or grant rights to third parties to develop and market product candidates that we would otherwise prefer to develop and market ourselves.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ordinary shares sold in this offering, you will experience immediate and substantial dilution in the net tangible book value of your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per share of our ordinary shares being offered may be higher than the net tangible book value per share of our outstanding ordinary shares prior to this offering. The net tangible book value of our outstanding ordinary shares as of June 30, 2026 was $2.76 per share. If you purchase ordinary shares in this offering, you will suffer immediate and substantial dilution of $9.01 per share in the as adjusted net tangible book value of the ordinary shares you purchase. The future exercise of outstanding warrants and options will result in further dilution of your investment. For a more detailed discussion of the foregoing, see the section entitled “Dilution”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as to the use of the net proceeds from this offering and may not use them effectively.</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primarily for working capital and for general corporate purposes. However, our management will have broad discretion in the application of the net proceeds. We may also use a portion of the net proceeds to in-license, invest in or acquire businesses, technologies, products or assets that we believe are complementary to our own, although we have no current plans, commitments or agreements with respect to any acquisitions or in-licenses at this time.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their use, we may invest the net proceeds from this offering in a manner that does not produce income.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$13,585,300 (or approximately $15,677,800 if the underwriter exercises in full its option to purchase up to 180,000 additional ordinary shares), after deducting underwriting discounts and commissions and estimated offering expenses payable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for working capital and general corporate purposes.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and actual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the use of proceeds described above, we intend to invest the net proceeds in interest-bearing deposits.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to our shareholders and we do not intend to pay cash dividends in the foreseeable future.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 The Israeli Companies Law, 5759-1999 imposes restrictions on our ability to declare and pay dividends. Payment of dividends may be subject to Israeli withholding taxes. See “Risk Factors-Risks Related to an Investment in Our Ordinary Shares-We have never paid cash dividends on our share capital, and we do not anticipate paying any cash dividends in the foreseeable future” in our Annual Report on Form 20-F for the year ended December 31, 2025, which is incorporated by reference in this prospectus supplement.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and cash equivalents and short-term deposits and capitalization as of June 30, 2026:</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of 1,200,000 ordinary shares in this offering at the offering price of $12.50 per ordinary share, after deducting underwriting discounts and commissions and estimated offering expenses payable by us, and assuming no exercise of the underwriter’s option to purchase additional ordinary shares.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table should be read in conjunction with our consolidated financial statements and related notes incorporated by reference in this prospectus supplement and the accompanying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auto"/>
            </w:tcBorders>
            <w:vMerge w:val="restart"/>
          </w:tcPr>
          <w:p>
            <w:pPr>
              <w:ind w:left="444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0" w:type="dxa"/>
            <w:vAlign w:val="bottom"/>
          </w:tcPr>
          <w:p>
            <w:pPr>
              <w:spacing w:after="0"/>
              <w:rPr>
                <w:sz w:val="1"/>
                <w:szCs w:val="1"/>
                <w:color w:val="auto"/>
              </w:rPr>
            </w:pPr>
          </w:p>
        </w:tc>
      </w:tr>
      <w:tr>
        <w:trPr>
          <w:trHeight w:val="196"/>
        </w:trPr>
        <w:tc>
          <w:tcPr>
            <w:tcW w:w="8680" w:type="dxa"/>
            <w:vAlign w:val="bottom"/>
            <w:tcBorders>
              <w:top w:val="single" w:sz="8" w:color="auto"/>
              <w:bottom w:val="single" w:sz="8" w:color="auto"/>
            </w:tcBorders>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short-term deposits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35,341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NIS 0.07 par value: 20,000,000 shares authorized; 12,910,278 shares issued and outstanding (actual);</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14,110,278 shares issued and outstanding (as adjusted)</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274,674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288,232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(239,269)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(239,269)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49,229</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58,072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71,657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260" w:firstLine="8"/>
        <w:spacing w:after="0" w:line="50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refers to long-term liabilities as presented in the balance sheet as of June 30, 2026. The Capitalization table above excludes: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1,500,797 ordinary shares issuable upon the exercise of share options outstanding as of June 30, 2026, at a weighted average exercise price of $15.75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56,552 ordinary shares issuable upon the settlement of RSUs outstanding as of June 30,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142,385 ordinary shares reserved for issuance pursuant to future awards under our 2024 Equity Incentive Plan as of June 30, 2026;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2,216,459 ordinary shares issuable or issued upon the exercise of outstanding warrants that we issued in the 2022 Offerings (including warrants issued to HCW (or its designees) as compensation in connection with those offerings), which warrants are exercisable at an exercise price of $13.475 or $15.31 per share, as applicable.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invest in our ordinary shares in this offering, your interest will be diluted immediately to the extent of the difference between the offering price per share you will pay in this offering and the as adjusted net tangible book value per share of our ordinary shares after this offering. Net tangible book value per share represents our total tangible assets less total liabilities, divided by the number of ordinary shares outstanding.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2026, our net tangible book value was $35.6 million, or $2.76 per ordinary share. After giving effect to our issuance and sale of 1,200,000 ordinary shares in this offering at the offering price of $12.50 per ordinary share, after deducting underwriting discounts and commissions and estimated offering expenses payable by us, the as adjusted net tangible book value as of June 30, 2026 would have been $49.2 million, or $3.49 per share. This represents an immediate increase in as adjusted net tangible book value to existing shareholders of $0.73 per share and an immediate dilution to those purchasing ordinary shares in this offering of $9.01 per share. The following table illustrates this per share dilution to those purchasing ordinary shares in this offering: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 price per ordinary share</w:t>
            </w: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ordinary share as of June 30, 2026</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2.76</w:t>
            </w:r>
          </w:p>
        </w:tc>
        <w:tc>
          <w:tcPr>
            <w:tcW w:w="7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ordinary share as of June 30, 2026 attributable to the offering</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0.73</w:t>
            </w:r>
          </w:p>
        </w:tc>
        <w:tc>
          <w:tcPr>
            <w:tcW w:w="72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ordinary share as of June 30, 2026 after giving effect to the offering</w:t>
            </w:r>
          </w:p>
        </w:tc>
        <w:tc>
          <w:tcPr>
            <w:tcW w:w="100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as of June 30, 2026 to those purchasing shares in this offering</w:t>
            </w: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underwriter exercises in full its option to purchase up to 180,000 additional ordinary shares from us at the offering price of $12.50 per ordinary share, after deducting underwriting discounts and commissions and estimated offering expenses payable by us, the as adjusted net tangible book value as of June 30, 2026 would have been $3.59 per ordinary share. This represents an immediate increase in as adjusted net tangible book value to existing shareholders of $0.83 per share and an immediate dilution to those purchasing ordinary shares in this offering of $8.91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figures in the Dilution table and discussion above exclude, as of June 30, 2026:</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1,500,797 ordinary shares issuable upon the exercise of share options outstanding as of June 30, 2026, at a weighted average exercise price of $15.75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56,552 ordinary shares issuable upon the settlement of RSUs outstanding as of June 30,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142,385 ordinary shares reserved for issuance pursuant to future awards under our 2024 Equity Incentive Plan as of June 30, 2026;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2,216,459 ordinary shares issuable or issued upon the exercise of outstanding warrants that we issued in the 2022 Offerings (including warrants issued to HCW (or its designees) as compensation in connection with those offerings), which warrants are exercisable at an exercise price of $13.475 or $15.31 per share, as applicable.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of our outstanding warrants or options are exercised or RSUs settle, those purchasing ordinary shares in this offering will experience further dilution. In addition, to the extent that we raise additional capital through the sale of equity securities or convertible debt securities, the issuance of these securities could result in further dilution.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the material U.S. and Israeli tax consequences concerning the acquisition, ownership and disposition of our ordinary shares. It is not intended to constitute a complete analysis of all tax consequences relating to the acquisition, ownership and disposition of our ordinary shares. This discussion is included for general information purposes only, does not purport to be complete, and does not constitute and is not a tax opinion or tax advice to any investor. You should consult your tax advisor concerning the tax consequences of your particular situation, as well as any tax consequences that may arise under the laws of any state, local, foreign or other taxing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section contains a general discussion of material Israeli tax consequences concerning the acquisition,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accuracy of the tax consequences described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Our Shareholders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Capital Gains Taxes Applicable to Non-Israeli Resident Shareholders. The Israeli Income Tax Ordinance [New Version], 5721-1961 (the “Tax Ordinance”) generally imposes a capital gains tax on the disposition of capital assets by non-Israeli tax residents if those assets (i) are located in Israel, (ii) are shares or a right to shares in an Israeli resident corporation, or (iii) represent, directly or indirectly, rights to assets located in Israel, unless a specific exemption is available or unless a tax treaty between Israel and the shareholder’s country of residence provides otherwise. The Tax Ordinance distinguishes between real capital gain and inflationary surplus. The inflationary surplus is a portion of the total capital gain equivalent to the increase of the relevant asset’s tax basis attributable to an increase in the Israeli consumer price index or, in certain circumstances, a foreign currency exchange rate, between the date of purchase and the date of disposition. Inflationary surplus is not currently subject to tax in Israel. The real capital gain is the excess of the total capital gain over the inflationary surplus.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Generally, a non-Israeli resident (whether an individual or a corporation) who derives capital gains from the sale of shares in an Israeli resident company purchased upon or after the registration of the shares on the Tel Aviv Stock Exchange (“TASE”) or on a regulated market outside of Israel (such as Nasdaq) should be exempt from Israeli capital gains tax unless, among others, (i) the capital gain derived from the sale of shares was attributed to a permanent establishment that the non-Israeli resident shareholder maintains in Israel, or (ii) the Israeli resident company is classified as a real estate investment trust or ceased to be a real estate investment trust (as defined in the Tax Ordinance). Non-Israeli “body of persons” (as defined under the Tax Ordinance, which includes corporate entities, partnerships and other entities) will not be entitled to the foregoing exemption if Israeli residents, whether directly or indirectly:</w:t>
      </w:r>
    </w:p>
    <w:p>
      <w:pPr>
        <w:spacing w:after="0" w:line="5" w:lineRule="exact"/>
        <w:rPr>
          <w:sz w:val="20"/>
          <w:szCs w:val="20"/>
          <w:color w:val="auto"/>
        </w:rPr>
      </w:pPr>
    </w:p>
    <w:p>
      <w:pPr>
        <w:jc w:val="both"/>
        <w:ind w:firstLine="8"/>
        <w:spacing w:after="0" w:line="255" w:lineRule="auto"/>
        <w:tabs>
          <w:tab w:leader="none" w:pos="2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controlling interest of 25% or more in such non-Israeli entity, including through any means of control, or (ii) are the beneficiaries of, or are entitled to, 25% or more of the revenues or profits of such non-Israeli entity. In addition, such exemption is not applicable to a person whose gains from selling or otherwise disposing of the shares are deemed to be business income, and the foregoing exclusions are not exhaustive.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not exempt, a non-Israeli resident shareholder would generally be subject to tax on capital gain at the ordinary corporate tax rate (23% in 2026), if generated by a company, or at the rate of 25%, if generated by an individual, or 30%, if generated by an individual who is a “substantial shareholder” (as defined under the Tax Ordinance), at the time of sale or at any time during the preceding 12-month period (or if the shareholder claims a deduction for interest and linkage differences expenses in connection with the purchase and holding of such shares).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how to act, regardless of the source of such right. Individual and corporate shareholders dealing in securities in Israel are taxed at the tax rates applicable to business income (a corporate tax rate for a corporation (23% in 2026) and a marginal tax rate of up to 47% for an individual in 2026 (excluding excess tax as discussed below)) unless contrary provisions in a relevant tax treaty apply. If the individual claims a deduction of interest and linkage fluctuation expenses in connection with the purchase or holding of the shares, the gain will generally be taxed at a fixed rate of 30% until the promulgation of regulations setting forth the rules and conditions for deduction of real interest and linkage differentials pursuant to sections 101A(a)(9) and 101A(b) of the Tax Ordinance.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a sale of shares by a non-Israeli resident may be exempt from Israeli capital gains tax under the provisions of an applicable tax treaty between Israel and the shareholder’s country of residence. For example, under the Convention Between the Government of the United States and the Government of the State of Israel with respect to Taxes of Income, as amended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 tax. Such exemption will not apply, inter alia, if (a) the capital gain arising from such sale, exchange or disposition is attributed to a permanent establishment that the shareholder maintains in Israel, (b) the shareholder holds, directly or indirectly, shares representing 10% or more of the voting capital of the company at any time in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United States-Israel Tax Treaty, the taxpayer may be permitted to claim a credit for such taxes against the U.S. federal income tax imposed with respect to such sale, exchange or disposition, subject to the limitations under U.S. law applicable to foreign tax credits. The United States-Israel Tax Treaty does not provide such credit against any U.S. state or local taxes. Application for this exemption requires appropriate documentation presented to and specific instruction received from the Israel Tax Authority (the “ITA”).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Regardless of whether non-Israeli shareholders may be liable for Israeli capital gains tax on the sale of our ordinary shares, the payment of the consideration may be subject to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from shareholders who are not liable for Israeli tax to sign declarations in forms specified by this authority or obtain a specific exemption from the ITA to confirm their status as non-Israeli tax residents, and, in the absence of such declarations or exemptions, may require the purchaser of the shares to withhold Israeli taxes at source.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up to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ITA might be required.</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Taxation of Non-Israeli Resident Shareholders on Receipt of Dividends. Non-Israeli residents (whether individuals or corporations) are generally subject to Israeli income tax on the receipt of dividends paid on our ordinary shares at the rate of 25%, unless relief is provided under the provisions of an applicable tax treaty between Israel and the shareholder’s country of residence (provided that a certificate from the ITA allowing for a reduced withholding tax rate or a tax exemption is obtained in advance). With respect to a person who is a “substantial shareholder” (described above) at the time of receiving the dividend or on any time during the preceding 12 months, the applicable tax rate is 30%. Dividends paid on publicly traded shares, like our ordinary shares, to non-Israeli residents, are generally subject to Israeli withholding tax at a rate of 25%, so long as the shares are registered with a nominee company (whether or not the recipient is a substantial shareholder), unless a lower rate is provided under an applicable tax treaty (provided that a certificate from the ITA allowing for a reduced withholding tax rate is obtained in advance). However, a distribution of dividends to non-Israeli residents is generally subject to withholding tax at source at a rate of 15% or 20% if the dividend is distributed from income attributed to a “Benefited Enterprise,” as such term is defined in the Law for the Encouragement of Capital Investments, 5719-1959. For example, under the United States-Israel Tax Treaty and subject to the eligibility to the benefits under such treaty, the maximum rate of tax withheld at source in Israel on dividends paid to a holder of our ordinary shares who is a U.S. resident (for purposes of the United States-Israel Tax Treaty) is 25%. However, for dividends not generated by an approved enterprise, Benefited Enterprise or preferred enterprises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of the Israeli resident paying corporation for such preceding year consists of certain types of dividends and interest. Notwithstanding the foregoing, dividends distributed from income attributed to a Benefited Enterprise are subject to withholding tax at the rate of 15% for such U.S. corporate shareholder, provided that the conditions related to the holding of 10% of our voting capital and to our gross income for the previous year (as set forth in the previous sentence) are met. The aforementioned rates under the United States-Israel Tax Treaty would not apply if the dividend income is derived through a permanent establishment of the U.S. resident in Israel. If the dividend is attributable partly to income derived from a Benefited Enterprise and partly to other sources of income, the withholding rate will be a blended rate reflecting the relative portions of the two types of income. U.S. residents (for purposes of the United States-Israel Tax Treaty) who are subject to Israeli withholding tax on a dividend may be entitled to a credit or deduction for United States federal income tax purposes up to the amount of the taxes withheld, subject to detailed rules contained in U.S. tax law.</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designate the profits that we may distribute in a way that will reduce shareholders’ tax liability. A non-Israeli resident who receives dividends from which tax was withheld is generally exempt from the obligation to file tax returns in Israel in respect of such income, provided, inter alia,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Excess Tax</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Individuals who are subject to tax in Israel (whether any such individual is an Israeli resident or non-Israeli resident) are also subject to an additional tax at a rate of 3% on annual income exceeding NIS 721,560 for 2026, which amount is generally linked to the annual change in the Israeli consumer price index (with the exception that based on Israeli new legislation such amount, and certain other statutory amounts will not be linked to the Israeli consumer price index for the years 2025-2027), including, but not limited to, dividends, interest and capital gain. According to new legislation, in effect as of January 1, 2025, an additional 2% excess tax is imposed on Capital-Sourced Income (defined as income from any source other than employment income, business income or income from “personal effort”), to the extent that the Individual’s Capital Sourced Income exceeds the specified threshold of NIS 721,560 (and regardless of the employment/business income amount of such individual). This new excess tax applies, among other things, to income from capital gains, dividends, interest, rental income, or the sale of real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Estate and Gift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Israeli tax law presently does not impose estate or gift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of the acquisition, ownership and disposition of our ordinary shares to a U.S. Holder (as defined below). This description addresses only the material U.S. federal income tax consequences of beneficial ownership of the ordinary shares held as capital assets. This description does not address tax considerations applicable to U.S. Holders that may be subject to special tax rules, including, without limitation:</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U.S. Internal Revenue Code, as amended (the “Code”),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as compensation for the performance of services;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will hold our ordinary shares as part of a “hedging,” “integrated” or “conversion” transaction or as a position in a “straddle” for U.S. federal income tax purposes;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ordinary shares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or arrangements classified as partnerships for U.S. federal income tax purposes) or other pass-through entities, or holders that will hold our ordinary shares through such an entity;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acquire ordinary shares as a result of holding or owning our preferred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residents or ordinarily resident in or have a permanent establishment in a jurisdiction outside the United States;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or have owned directly or indirectly or by attribution 10.0% or more of the voting power or value of our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this description does not address any U.S. federal tax consequences other than U.S. federal income tax consequences. It does not address the U.S. federal estate, gift or any alternative minimum tax consequences, Medicare consequences, or any state, local or foreign tax consequences, of the acquisition, ownership and disposition of our ordinary shares.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description is based on the Code, applicable U.S. Treasury Regulations and judicial and administrative interpretations thereof, in each case as in effect and available on the date hereof, each of which is subject to change (possibly with retroactive effect). Any such change could affect the tax consequences described below. There can be no assurances that the U.S. Internal Revenue Service (the “IRS”) will not take a different position concerning the tax consequences of the acquisition, ownership and disposition of our ordinary shares or that such a position would not be sustained. Holders should consult their tax advisors concerning the U.S. federal, state, local and foreign tax consequences of acquiring, owning and disposing of our ordinary shares issued pursuant to this offering in their particular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description, a “U.S. Holder” is a beneficial owner of our ordinary shares that, for U.S. federal income tax purposes, is: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that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U.S. persons have the authority to control all of the trust’s substantial decisions.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entity or arrangement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acquiring, owning and disposing of our ordinary shares issued pursuant to this offering in its particular circumstance.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this discussion assumes that the Company is not, and will not become, a “passive foreign investment company,” or PFIC, for U.S. federal income tax purposes. See “-Passive Foreign Investment Company Considerations”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advisor with respect to the U.S. federal, state, local and foreign tax consequences of acquiring, owning and disposing of our ordinary shares issued pursuant to this offering.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Distributions on our Ordinary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intend to pay cash dividends in the foreseeable future. However, if any distribution of property is made on our ordinary shares, then, subject to the discussion below under “-Passive Foreign Investment Company Considerations,” the gross amount of any distribution made to you with respect to our ordinary shares (before reduction for any Israeli taxes withheld therefrom) will generally be includible in your income as dividend income to the extent such distribution is paid out of our current or accumulated earnings and profits as determined under U.S. federal income tax principles. To the extent such distribution exceeds our current and accumulated earnings and profits as determined under U.S. federal income tax principles, it will be treated first as a tax-free return of your adjusted tax basis in our ordinary shares (but not below zero) and thereafter as either long-term or short-term capital gain depending upon whether your holding period for our ordinary shares exceeds one year as of the time such distribution is received. However, we do not expect to maintain calculations of our earnings and profits under U.S. federal income tax principles. Therefore, if you are a U.S. Holder, you should expect that the entire amount of any distribution generally will be taxable as dividend income to you. Non-corporate U.S. Holders may qualify for the lower rates of taxation with respect to dividends on ordinary shares applicable to long-term capital gains (i.e., gains from the sale of capital assets held for more than one year) if certain conditions are met, including certain holding period requirements and the absence of certain risk reduction transactions. Such lower rate of taxation shall not apply if the Company is a PFIC with respect to the U.S. Holder for the taxable year in which it pays a dividend, or was a PFIC for the preceding taxable year. Finally, the dividends will not be eligible for the dividends received deduction generally allowed to corporate U.S. Holders.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paid to you with respect to our ordinary shares will generally be treated as foreign source income, which may be relevant in calculating your foreign tax credit limitation. Subject to certain conditions and limitations, Israeli tax withheld on dividends may be deducted from your taxable income or credited against your U.S. federal income tax liability. The limitation on foreign taxes eligible for credit is calculated separately with respect to specific classes of income. For this purpose, dividends generally should constitute “passive category income.” A foreign tax credit for foreign taxes imposed on distributions may be denied if you do not satisfy certain minimum holding period requirements. The rules relating to the determination of the foreign tax credit are complex, and U.S. Treasury regulations (“Foreign Tax Credit Regulations”) that apply to foreign income taxes paid or accrued in taxable years beginning on or after December 28, 2021 further restrict the availability of any such credit based on the nature of the tax imposed by the non-U.S. jurisdiction, although the IRS has provided temporary relief from the application of certain aspects of these regulations until new guidance or regulations are issued. You should consult your tax advisor to determine whether and to what extent you will be entitled to this credit.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Ordinary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Considerations,” you generally will recognize gain or loss on the sale, exchange or other taxable disposition of our ordinary shares equal to the difference between the amount realized on such sale, exchange or other taxable disposition and your adjusted tax basis in such ordinary shares, and such gain or loss will generally be capital gain or loss. If any Israeli tax is imposed on the sale, exchange or other taxable disposition of our ordinary shares, a U.S. Holder’s amount realized will include the gross amount of the proceeds of such disposition before deduction of the Israeli tax. The adjusted tax basis in an ordinary share generally will be equal to the cost of such ordinary share. If you are a non-corporate U.S. Holder, capital gain from the sale, exchange or other taxable disposition of our ordinary shares will generally be eligible for a preferential rate of taxation applicable to capital gains if your holding period for such ordinary shares exceeds one year. The deductibility of capital losses for U.S. federal income tax purposes is subject to limitations under the Code.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gain or loss that a U.S. Holder recognizes on the sale, exchange or other taxable disposition of our ordinary shares generally will be treated as U.S. source income or loss for foreign tax credit limitation purposes. Because you may use foreign tax credits to offset only the portion of U.S. federal income tax liability that is attributed to foreign source income in the same category, you may be unable to claim a foreign tax credit with respect to Israeli tax, if any, imposed on any such U.S.-source gain. Additionally, as discussed above, the Foreign Tax Credit Regulations may further limit your ability to claim such a foreign tax credit, depending on the nature of such Israeli tax, although the IRS has provided temporary relief from the application of certain aspects of these regulations until new guidance or regulations are issued.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with respect to such Israeli tax. You should consult your tax advisor as to whether the Israeli tax on gains may be creditable against your U.S. federal income tax on foreign-source income from other sources.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were to be classified as a PFIC for any taxable year, a U.S. Holder of our ordinary shares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non-U.S. corporation will be classified as a PFIC for federal income tax purposes in any taxable year in which, after applying certain look-through rules with respect to the income and assets of subsidiaries, either:</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average quarterly value of its total gross assets (which may be determined in part by the market value of our ordinary shares, which is subject to change) is attributable to assets that produce “passive income” or are held for the production of passive income.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unless we cease to be a PFIC and the U.S. Holder has made a “deemed sale election” under the PFIC rules. Based on our gross income and the quarterly value of our gross assets, our intended use of the proceeds of this offering and the nature of our business during that year, we do not believe we were classified as a PFIC for the taxable year ended December 31, 2025.</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However, we must determine our PFIC status annually based on tests which are factual in nature, and our status in future years will depend on our income, assets and activities in those years. Further, because the value of our gross assets is likely to be determined in large part by reference to our market capitalization, a decline in the value of our ordinary shares or an increase in the value of our passive assets (including cash and short term investments) may result in our becoming a PFIC. In addition, our status as a PFIC may depend on how quickly we utilize the cash proceeds from this offering (and any future offerings) in our business. There can be no assurance that we will not be considered a PFIC for the current or any future taxable year. If we were a PFIC, and you are a U.S. Holder, then unless you make one of the elections described below, a special tax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the ordinary shares. Under this regime, any excess distribution and realized gain will be treated as ordinary income and will be subject to tax as if (i) the excess distribution or gain had been realized ratably over your holding period, (ii)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(iii) the interest charge generally applicable to underpayments of tax had been imposed on the taxes deemed to have been payable in those years. In addition, dividend distributions made to you will not qualify for the lower rates of taxation applicable to long-term capital gains discussed above under “Distributions.” Certain elections may be available that would result in an alternative treatment (such as mark-to-market treatment) of our ordinary shares.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52"/>
        <w:spacing w:after="0" w:line="252" w:lineRule="auto"/>
        <w:rPr>
          <w:sz w:val="20"/>
          <w:szCs w:val="20"/>
          <w:color w:val="auto"/>
        </w:rPr>
      </w:pPr>
      <w:r>
        <w:rPr>
          <w:rFonts w:ascii="Times New Roman" w:cs="Times New Roman" w:eastAsia="Times New Roman" w:hAnsi="Times New Roman"/>
          <w:sz w:val="18"/>
          <w:szCs w:val="18"/>
          <w:color w:val="auto"/>
        </w:rPr>
        <w:t>If a U.S. Holder makes a valid mark-to-market election, for the first tax year in which such U.S. Holder holds (or is deemed to hold) ordinary shares in a corporation and for which such corporation is determined to be a PFIC,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are “regularly traded” on a “qualified exchange.” Our ordinary shares will be treated as “regularly traded” in any calendar year in which more than a de minimis quantity of the ordinary shares are traded on a qualified exchange on at least 15 days during each calendar quarter. Nasdaq is a qualified exchange for this purpose. If we are a PFIC, the general tax treatment for U.S. Holders described in this section would apply to indirect distributions and gains deemed to be realized by U.S. Holders in respect of any entity in which we hold equity that is also a PFIC (a “lower tier PFIC”). Because a mark-to-market election generally would not be available with respect to any lower tier PFICs, a U.S. Holder may continue to be subject to the PFIC rules with respect to such holder’s indirect interest in any investments held by us that are treated as an equity interest in such lower tier PFICs.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intend to provide the information necessary for U.S. Holders to make qualified electing fund elections if we are classified as a PFIC. U.S. Holders should consult their tax advisors to determine whether any of these elections would be available and if so, what the consequences of the alternative treatments would be in their particular circumstances.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or successor form with respect to the company, generally with the U.S. Holder’s federal income tax return for that year. U.S. Holders should consult their tax advisors regarding whether we are a PFIC and the potential application of the PFIC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Tax and Information Reporting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States backup withholding tax and information reporting requirements may apply to certain payments to certain holders of stock. Information reporting generally will apply to distributions (including constructive distributions) on, and proceeds from the sale, exchange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Payments made (and sales or other dispositions effected at an office) outside the U.S. will be subject to information reporting in limited circumstances. A payor will be required to withhold backup withholding tax from any payments of dividends (including constructive dividends) on, or the proceeds from the sale or redemption of, ordinary shares within the United States, or by a United States payor or United States middleman, to a holder, other than an exempt recipient, if such holder fails to furnish its correct taxpayer identification number and a duly executed IRS Form W-9 or otherwise fails to comply with, or establish an exemption from, such backup withholding tax requirements or to report dividends required to be shown on the holder’s U.S. federal income tax returns. Backup withholding is not an additional tax.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Financial Asset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are required to report information relating to an interest in our ordinary shares, subject to certain exceptions (including an exception for ordinary shares held in accounts maintained by certain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is not intended to constitute a complete analysis of all tax consequences relating to acquisition, ownership, and disposition of our ordinary shares issued pursuant to this offering. You should consult your tax advisor concerning the tax consequences of the acquisition, ownership and disposition of our ordinary shares in your particular situation.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underwriting agreement with H.C. Wainwright &amp; Co., LLC, or the underwriter and the sole book-running manager of this offering, we have agreed to issue and sell, and the underwriter has agreed to purchase, the number of ordinary shares listed opposite its name below, less the underwriting discounts and commissions, on the closing date, subject to the terms and conditions contained in the underwriting agreement. The underwriting agreement provides that the obligations of the underwriter are subject to certain customary conditions precedent, representations and warranties contained therein.</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8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09"/>
        </w:trPr>
        <w:tc>
          <w:tcPr>
            <w:tcW w:w="20" w:type="dxa"/>
            <w:vAlign w:val="bottom"/>
          </w:tcPr>
          <w:p>
            <w:pPr>
              <w:spacing w:after="0"/>
              <w:rPr>
                <w:sz w:val="18"/>
                <w:szCs w:val="18"/>
                <w:color w:val="auto"/>
              </w:rPr>
            </w:pPr>
          </w:p>
        </w:tc>
        <w:tc>
          <w:tcPr>
            <w:tcW w:w="6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1,200,000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1,200,000</w:t>
            </w: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the underwriter has agreed to purchase all of the shares sold under the underwriting agreement if any of these shares are purchased, other than those shares covered by the underwriter’s option to purchase additional ordinary shares described below. The underwriter has advised us that it does not intend to confirm sales to any account over which it exercises discretionary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Commissions and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underwriter may offer the ordinary shares from time to time to purchasers directly or through agents, or through brokers in brokerage transactions on the Nasdaq Global Market, or to dealers in negotiated transactions or in a combination of such methods of sale, or otherwise, at a fixed price or prices, which may be changed, or at market prices prevailing at the time of sale, at prices related to such prevailing market prices or at negotiated prices, subject to receipt and acceptance by it and subject to its right to reject any order in whole or in part. The difference between the price at which the underwriter purchases shares from us and the price at which the underwriter resells such shares may be deemed underwriting compensation. If the underwriter effects such transactions by selling ordinary shares to or through dealers, such dealers may receive compensation in the form of discounts, concessions or commissions from the underwriter and/or purchasers of ordinary shares for whom they may act as agents or to whom they may sell as principal.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 is offering the shares, subject to prior sale, when, as and if issued to and accepted by it, subject to approval of legal matters and other conditions specified in the underwriting agreement. The underwriter reserves the right to withdraw, cancel or modify offers to the public and to reject orders in whole or in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granted to the underwriter an option to purchase up to an additional 180,000 ordinary shares (up to 15% of the ordinary shares in this offering) at the public offering price, less the underwriting discounts and commissions. The option is exercisable for 30 days from the date of this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sold by the underwriter to securities dealers will be sold at the public offering price.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tbl>
      <w:tblPr>
        <w:tblLayout w:type="fixed"/>
        <w:tblInd w:w="170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Without Option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With Option</w:t>
            </w:r>
          </w:p>
        </w:tc>
        <w:tc>
          <w:tcPr>
            <w:tcW w:w="80" w:type="dxa"/>
            <w:vAlign w:val="bottom"/>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15,000,000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0.41</w:t>
            </w:r>
            <w:r>
              <w:rPr>
                <w:rFonts w:ascii="Times New Roman" w:cs="Times New Roman" w:eastAsia="Times New Roman" w:hAnsi="Times New Roman"/>
                <w:sz w:val="25"/>
                <w:szCs w:val="25"/>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495,000</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601,750</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and fees, to us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14,505,000</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16,648,250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a blended underwriting discount.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to pay the legal fees and expenses of the underwriter, in the amount of $100,000 in connection with this offering, $25,000 for nonaccountable expenses and clearing fees of $15,950. In addition, we may, in our sole discretion, pay the underwriter a one-time performance bonus of up to $500,000. We estimate that the total expenses of the offering, excluding the underwriting discounts and commissions, will be approximately $970,450 and are payable by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any investors whom the underwriter had brought over-the-wall in connection with this offering during the term of our engagement of the underwriter provide any capital to us, directly or indirectly, in a public or private offering or other capital-raising transaction in which the underwriter does not participate as underwriter or placement agent, within the 10 month period following the expiration or termination of our engagement of the underwriter, we shall pay the underwriter the cash compensation provided above with respect to such capital, other than with respect to gross proceeds from certain designated investors. Our obligation to pay such tail compensation will be eliminated if we terminate our engagement of the underwriter for cause.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civil liabilities under the Securities Act, or to contribute to payments that the underwriter may be required to make in respect of those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agreed to not sell any of our ordinary shares or any securities convertible into or exercisable or exchangeable into ordinary shares, subject to certain exceptions, for a period of 60 days after the date of this prospectus supplement unless we obtain prior written consent of the underwriter. This consent may be given at any time without public notice, and the underwriter may consent in its sole discretion. The exceptions to the restriction include, among other things, (i) the issuance of the securities to the underwriter in this offering, (ii) the issuance of ordinary shares, options and restricted share units to purchase ordinary shares, pursuant to our share option, share purchase or other equity incentive plans described in this prospectus supplement and in effect on the date of the underwriting agreement, and (iii) the issuance of ordinary shares upon the exercise of share options issued under such plans, or upon the exercise of warrants, convertible securities or other instruments convertible into or exercisable or exchangeable for ordinary shares outstanding on the date of the underwriting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each of our directors and executive officers has entered into a lock-up agreement with the underwriter. Under the lock-up agreements, subject to certain limited circumstances, the directors and executive officers may not, directly or indirectly, sell, offer to sell, contract to sell, or grant any option for the sale (including any short sale), grant any security interest in, pledge, hypothecate, hedge, establish an open “put equivalent position” (within the meaning of Rule 16a-1(h) under the Exchange Act), or otherwise dispose of, or enter into any transaction which is designed to or could be expected to result in the disposition of, any of our ordinary shares or securities convertible into or exchangeable for our ordinary shares, or publicly announce any intention to do any of the foregoing, unless such directors and executive officers obtain prior written consent of the underwriter for a period of 60 days from the date of this prospectus supplement. This consent may be given at any time without public notice, and the underwriter may consent in its sole discretion.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stabilizing transactions, syndicate covering transactions and penalty bids in connection with our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Stabilizing transactions permit bids to purchase ordinary shares so long as the stabilizing bids do not exceed a specified maximum.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Syndicate covering transactions involve purchases of ordinary shares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Penalty bids permit the underwriter to reclaim a selling concession from a syndicate member when the securities originally sold by the syndicate member are purchased in a stabilizing or syndicate covering transaction to cover syndicate short positions. 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 makes any representation or prediction as to the effect that the transactions described above may have on the price of our ordinary shares. These transactions may be effected on the Nasdaq Global Market, in the over-the-counter market or otherwise and, if commenced, may be discontinued at any time.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 also may engage in passive market making transactions in our ordinary shares in accordance with Regulation M during a period before the commencement of offers or sales of our ordinary shares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the websites maintained by the underwriter, if any, participating in this offering and the underwriter may distribute such prospectuses electronically. Other than the prospectus supplement and the accompanying prospectus in electronic format, the information on these websites is not part of this prospectus supplement and the accompanying prospectus or the registration statement of which this prospectus supplement and the accompanying prospectus form a part, has not been approved or endorsed by us or the underwriter, and should not be relied upon by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underwriter and its affiliates have provided, and may provide in the future, various advisory, investment and commercial banking and other services to us in the ordinary course of business, for which it has received and may continue to receive customary fees and commissions. The underwriter acted as the placement agent in connection with the 2022 Offerings and our registered direct offerings consummated in February 2023 and September 2025 and received compensation from us in connection therewith.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Equiniti Trust Company, LLC, New York,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Global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“MDWD.”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validity of the ordinary shares and other legal matters concerning this offering relating to Israeli law will be passed upon for us by Meitar | Law Offices, Givatayim, Israel. Certain legal matters in connection with this offering relating to U.S. law will be passed upon for us by Latham &amp; Watkins LLP, New York, New York. Certain legal matters in connection with this offering will be passed upon for the underwriter by Lowenstein Sandler LLP, New York, New York.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MediWound Ltd.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16(b) of the Exchange Act, although our directors and officers (but not our principal shareholders) are subject, absent an applicable exemption, to the reporting requirements of Section 16(a) of the Exchange Act.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and information statements and other information about issuers, such as us, who file electronically with the SEC. The address of that website is www.sec.gov.</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corporate website at www.MediWound.com. Information contained on, or that can be accessed through, our website does not constitute a part of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Statements in this prospectus supplement and the accompanying prospectus about the registration statement are summaries and each statement is qualified in all respects by reference to the registration statement. You should refer to the registration statement for a more complete description of the relevant matters.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and accompanying prospectus, which means that we can disclose important information to you by referring you to another document filed separately with the SEC. The information incorporated by reference is deemed to be part of this prospectus supplement and accompanying prospectus, and subsequent information that is incorporated by reference herein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have previously been filed with, or furnished to, the SEC:</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5, 2026 (File No. 001-36349);</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of Foreign Private Issuer on Form 6-K furnished to the SEC on </w:t>
      </w:r>
      <w:hyperlink r:id="rId40">
        <w:r>
          <w:rPr>
            <w:rFonts w:ascii="Times New Roman" w:cs="Times New Roman" w:eastAsia="Times New Roman" w:hAnsi="Times New Roman"/>
            <w:sz w:val="18"/>
            <w:szCs w:val="18"/>
            <w:u w:val="single" w:color="auto"/>
            <w:color w:val="0000EE"/>
          </w:rPr>
          <w:t>March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(including the information contained in Exhibits 99.1 and 99.2 thereto), </w:t>
      </w:r>
      <w:hyperlink r:id="rId41">
        <w:r>
          <w:rPr>
            <w:rFonts w:ascii="Times New Roman" w:cs="Times New Roman" w:eastAsia="Times New Roman" w:hAnsi="Times New Roman"/>
            <w:sz w:val="18"/>
            <w:szCs w:val="18"/>
            <w:u w:val="single" w:color="auto"/>
            <w:color w:val="0000EE"/>
          </w:rPr>
          <w:t>April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(including the information contained in Exhibit 99.1 thereto), </w:t>
      </w:r>
      <w:hyperlink r:id="rId42">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May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(including the information contained in Exhibit 99.1 thereto, but excluding quotes of our senior management and any forward looking information, including guidance) and </w:t>
      </w:r>
      <w:hyperlink r:id="rId44">
        <w:r>
          <w:rPr>
            <w:rFonts w:ascii="Times New Roman" w:cs="Times New Roman" w:eastAsia="Times New Roman" w:hAnsi="Times New Roman"/>
            <w:sz w:val="18"/>
            <w:szCs w:val="18"/>
            <w:u w:val="single" w:color="auto"/>
            <w:color w:val="0000EE"/>
          </w:rPr>
          <w:t>August 13,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the information contained in Exhibit 99.1 thereto, but excluding quotes of our senior management and information under the captions “2026 Revenue Guidance”) (each, solely with respect to the portions specified therein);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ordinary shares contained under the heading “Item 1. Description of Registrant’s Securities to be Registered” in our </w:t>
      </w:r>
      <w:hyperlink r:id="rId45">
        <w:r>
          <w:rPr>
            <w:rFonts w:ascii="Times New Roman" w:cs="Times New Roman" w:eastAsia="Times New Roman" w:hAnsi="Times New Roman"/>
            <w:sz w:val="18"/>
            <w:szCs w:val="18"/>
            <w:color w:val="auto"/>
          </w:rPr>
          <w:t xml:space="preserve">registration statement on </w:t>
        </w:r>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color w:val="auto"/>
          </w:rPr>
          <w:t xml:space="preserve">, as filed with the SEC on March 12, 2014, as updated by the description of our ordinary shares filed as </w:t>
        </w:r>
        <w:r>
          <w:rPr>
            <w:rFonts w:ascii="Times New Roman" w:cs="Times New Roman" w:eastAsia="Times New Roman" w:hAnsi="Times New Roman"/>
            <w:sz w:val="18"/>
            <w:szCs w:val="18"/>
            <w:u w:val="single" w:color="auto"/>
            <w:color w:val="0000EE"/>
          </w:rPr>
          <w:t>Exhibit</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 Annual Report on Form 20-F for the fiscal year ended December 31, 2025.</w:t>
        </w:r>
      </w:hyperlink>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certain reports of foreign private issuer on Form 6-K that we furnish to the SEC after the date of this prospectus supplement (if such reports on Form 6-K expressly state that they are incorporated by reference into the registration statement on Form F-3 (Registration No. 333-285908)) prior to the termination of this offering. In all cases, you should rely on the later information over different information included in this prospectus supplement and the accompanying prospectus.</w:t>
      </w:r>
    </w:p>
    <w:p>
      <w:pPr>
        <w:spacing w:after="0" w:line="18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spacing w:after="0" w:line="180" w:lineRule="exact"/>
        <w:rPr>
          <w:rFonts w:ascii="Times New Roman" w:cs="Times New Roman" w:eastAsia="Times New Roman" w:hAnsi="Times New Roman"/>
          <w:sz w:val="18"/>
          <w:szCs w:val="18"/>
          <w:color w:val="auto"/>
        </w:rPr>
      </w:pPr>
    </w:p>
    <w:p>
      <w:pPr>
        <w:ind w:left="4980"/>
        <w:spacing w:after="0"/>
        <w:rPr>
          <w:sz w:val="20"/>
          <w:szCs w:val="20"/>
          <w:color w:val="auto"/>
        </w:rPr>
      </w:pPr>
      <w:r>
        <w:rPr>
          <w:rFonts w:ascii="Times New Roman" w:cs="Times New Roman" w:eastAsia="Times New Roman" w:hAnsi="Times New Roman"/>
          <w:sz w:val="18"/>
          <w:szCs w:val="18"/>
          <w:color w:val="auto"/>
        </w:rPr>
        <w:t>MediWound Ltd.</w:t>
      </w:r>
    </w:p>
    <w:p>
      <w:pPr>
        <w:spacing w:after="0" w:line="27" w:lineRule="exact"/>
        <w:rPr>
          <w:rFonts w:ascii="Times New Roman" w:cs="Times New Roman" w:eastAsia="Times New Roman" w:hAnsi="Times New Roman"/>
          <w:sz w:val="18"/>
          <w:szCs w:val="18"/>
          <w:color w:val="auto"/>
        </w:rPr>
      </w:pPr>
    </w:p>
    <w:p>
      <w:pPr>
        <w:ind w:left="4900"/>
        <w:spacing w:after="0"/>
        <w:rPr>
          <w:sz w:val="20"/>
          <w:szCs w:val="20"/>
          <w:color w:val="auto"/>
        </w:rPr>
      </w:pPr>
      <w:r>
        <w:rPr>
          <w:rFonts w:ascii="Times New Roman" w:cs="Times New Roman" w:eastAsia="Times New Roman" w:hAnsi="Times New Roman"/>
          <w:sz w:val="18"/>
          <w:szCs w:val="18"/>
          <w:color w:val="auto"/>
        </w:rPr>
        <w:t>42 Hayarkon Street</w:t>
      </w:r>
    </w:p>
    <w:p>
      <w:pPr>
        <w:spacing w:after="0" w:line="9" w:lineRule="exact"/>
        <w:rPr>
          <w:rFonts w:ascii="Times New Roman" w:cs="Times New Roman" w:eastAsia="Times New Roman" w:hAnsi="Times New Roman"/>
          <w:sz w:val="18"/>
          <w:szCs w:val="18"/>
          <w:color w:val="auto"/>
        </w:rPr>
      </w:pPr>
    </w:p>
    <w:p>
      <w:pPr>
        <w:ind w:left="4820"/>
        <w:spacing w:after="0"/>
        <w:rPr>
          <w:sz w:val="20"/>
          <w:szCs w:val="20"/>
          <w:color w:val="auto"/>
        </w:rPr>
      </w:pPr>
      <w:r>
        <w:rPr>
          <w:rFonts w:ascii="Times New Roman" w:cs="Times New Roman" w:eastAsia="Times New Roman" w:hAnsi="Times New Roman"/>
          <w:sz w:val="18"/>
          <w:szCs w:val="18"/>
          <w:color w:val="auto"/>
        </w:rPr>
        <w:t>Yavne, 8122745 Israel</w:t>
      </w:r>
    </w:p>
    <w:p>
      <w:pPr>
        <w:spacing w:after="0" w:line="9" w:lineRule="exact"/>
        <w:rPr>
          <w:rFonts w:ascii="Times New Roman" w:cs="Times New Roman" w:eastAsia="Times New Roman" w:hAnsi="Times New Roman"/>
          <w:sz w:val="18"/>
          <w:szCs w:val="18"/>
          <w:color w:val="auto"/>
        </w:rPr>
      </w:pPr>
    </w:p>
    <w:p>
      <w:pPr>
        <w:ind w:left="4940"/>
        <w:spacing w:after="0"/>
        <w:rPr>
          <w:sz w:val="20"/>
          <w:szCs w:val="20"/>
          <w:color w:val="auto"/>
        </w:rPr>
      </w:pPr>
      <w:r>
        <w:rPr>
          <w:rFonts w:ascii="Times New Roman" w:cs="Times New Roman" w:eastAsia="Times New Roman" w:hAnsi="Times New Roman"/>
          <w:sz w:val="18"/>
          <w:szCs w:val="18"/>
          <w:color w:val="auto"/>
        </w:rPr>
        <w:t>+972-77-971-4100</w:t>
      </w:r>
    </w:p>
    <w:p>
      <w:pPr>
        <w:spacing w:after="0" w:line="9" w:lineRule="exact"/>
        <w:rPr>
          <w:rFonts w:ascii="Times New Roman" w:cs="Times New Roman" w:eastAsia="Times New Roman" w:hAnsi="Times New Roman"/>
          <w:sz w:val="18"/>
          <w:szCs w:val="18"/>
          <w:color w:val="auto"/>
        </w:rPr>
      </w:pPr>
    </w:p>
    <w:p>
      <w:pPr>
        <w:ind w:left="45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Accompanying base prospectus dated March 27, 2025 to follow</w:t>
      </w:r>
    </w:p>
    <w:p>
      <w:pPr>
        <w:spacing w:after="0" w:line="25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$125,000,000 of Ordinary Shares, Warrants and/or</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Debt Securities, Separately and/or Units, Offered by the Company.</w:t>
      </w: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Up to 1,266,141 Ordinary Shares Offered by the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165100</wp:posOffset>
            </wp:positionV>
            <wp:extent cx="2125980" cy="540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21259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MediWound Ltd.</w:t>
      </w:r>
    </w:p>
    <w:p>
      <w:pPr>
        <w:spacing w:after="0" w:line="237" w:lineRule="exact"/>
        <w:rPr>
          <w:sz w:val="20"/>
          <w:szCs w:val="20"/>
          <w:color w:val="auto"/>
        </w:rPr>
      </w:pPr>
    </w:p>
    <w:p>
      <w:pPr>
        <w:ind w:right="20" w:firstLine="713"/>
        <w:spacing w:after="0" w:line="239" w:lineRule="auto"/>
        <w:rPr>
          <w:sz w:val="20"/>
          <w:szCs w:val="20"/>
          <w:color w:val="auto"/>
        </w:rPr>
      </w:pPr>
      <w:r>
        <w:rPr>
          <w:rFonts w:ascii="Times New Roman" w:cs="Times New Roman" w:eastAsia="Times New Roman" w:hAnsi="Times New Roman"/>
          <w:sz w:val="22"/>
          <w:szCs w:val="22"/>
          <w:color w:val="auto"/>
        </w:rPr>
        <w:t>We may offer from time to time in one or more series or issuances ordinary shares, warrants to purchase ordinary shares and/or debt securities consisting of debentures, notes or other evidences of indebtedness or any combination of the above, separately or as units. We refer to the ordinary shares, warrants, debt securities and units collectively as “securities” in this prospectus.</w:t>
      </w:r>
    </w:p>
    <w:p>
      <w:pPr>
        <w:spacing w:after="0" w:line="207" w:lineRule="exact"/>
        <w:rPr>
          <w:sz w:val="20"/>
          <w:szCs w:val="20"/>
          <w:color w:val="auto"/>
        </w:rPr>
      </w:pPr>
    </w:p>
    <w:p>
      <w:pPr>
        <w:ind w:right="180" w:firstLine="713"/>
        <w:spacing w:after="0" w:line="258" w:lineRule="auto"/>
        <w:rPr>
          <w:sz w:val="20"/>
          <w:szCs w:val="20"/>
          <w:color w:val="auto"/>
        </w:rPr>
      </w:pPr>
      <w:r>
        <w:rPr>
          <w:rFonts w:ascii="Times New Roman" w:cs="Times New Roman" w:eastAsia="Times New Roman" w:hAnsi="Times New Roman"/>
          <w:sz w:val="22"/>
          <w:szCs w:val="22"/>
          <w:color w:val="auto"/>
        </w:rPr>
        <w:t>In addition, the selling shareholder may offer up to 1,266,141 ordinary shares. We will not receive any of the proceeds from the sale of ordinary shares by the selling shareholder.</w:t>
      </w:r>
    </w:p>
    <w:p>
      <w:pPr>
        <w:spacing w:after="0" w:line="185" w:lineRule="exact"/>
        <w:rPr>
          <w:sz w:val="20"/>
          <w:szCs w:val="20"/>
          <w:color w:val="auto"/>
        </w:rPr>
      </w:pPr>
    </w:p>
    <w:p>
      <w:pPr>
        <w:ind w:right="80" w:firstLine="713"/>
        <w:spacing w:after="0" w:line="244" w:lineRule="auto"/>
        <w:rPr>
          <w:sz w:val="20"/>
          <w:szCs w:val="20"/>
          <w:color w:val="auto"/>
        </w:rPr>
      </w:pPr>
      <w:r>
        <w:rPr>
          <w:rFonts w:ascii="Times New Roman" w:cs="Times New Roman" w:eastAsia="Times New Roman" w:hAnsi="Times New Roman"/>
          <w:sz w:val="22"/>
          <w:szCs w:val="22"/>
          <w:color w:val="auto"/>
        </w:rPr>
        <w:t>Each time we or a selling shareholder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00" w:lineRule="exact"/>
        <w:rPr>
          <w:sz w:val="20"/>
          <w:szCs w:val="20"/>
          <w:color w:val="auto"/>
        </w:rPr>
      </w:pPr>
    </w:p>
    <w:p>
      <w:pPr>
        <w:ind w:right="60" w:firstLine="713"/>
        <w:spacing w:after="0" w:line="238" w:lineRule="auto"/>
        <w:rPr>
          <w:sz w:val="20"/>
          <w:szCs w:val="20"/>
          <w:color w:val="auto"/>
        </w:rPr>
      </w:pPr>
      <w:r>
        <w:rPr>
          <w:rFonts w:ascii="Times New Roman" w:cs="Times New Roman" w:eastAsia="Times New Roman" w:hAnsi="Times New Roman"/>
          <w:sz w:val="22"/>
          <w:szCs w:val="22"/>
          <w:color w:val="auto"/>
        </w:rPr>
        <w:t>We or the selling shareholder may, from time to time, offer the securities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spacing w:after="0" w:line="204" w:lineRule="exact"/>
        <w:rPr>
          <w:sz w:val="20"/>
          <w:szCs w:val="20"/>
          <w:color w:val="auto"/>
        </w:rPr>
      </w:pPr>
    </w:p>
    <w:p>
      <w:pPr>
        <w:ind w:right="480" w:firstLine="713"/>
        <w:spacing w:after="0" w:line="258" w:lineRule="auto"/>
        <w:rPr>
          <w:sz w:val="20"/>
          <w:szCs w:val="20"/>
          <w:color w:val="auto"/>
        </w:rPr>
      </w:pPr>
      <w:r>
        <w:rPr>
          <w:rFonts w:ascii="Times New Roman" w:cs="Times New Roman" w:eastAsia="Times New Roman" w:hAnsi="Times New Roman"/>
          <w:sz w:val="22"/>
          <w:szCs w:val="22"/>
          <w:color w:val="auto"/>
        </w:rPr>
        <w:t>Our ordinary shares are traded on the Nasdaq Global Market under the symbol “MDWD.” The closing price of our ordinary shares, as reported on the Nasdaq Global Market on March 18, 2025 was $19.27.</w:t>
      </w:r>
    </w:p>
    <w:p>
      <w:pPr>
        <w:spacing w:after="0" w:line="181" w:lineRule="exact"/>
        <w:rPr>
          <w:sz w:val="20"/>
          <w:szCs w:val="20"/>
          <w:color w:val="auto"/>
        </w:rPr>
      </w:pPr>
    </w:p>
    <w:p>
      <w:pPr>
        <w:ind w:firstLine="713"/>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certain risks. Please carefully consider the “Risk Factors” in Item 3 of our most recent annual report on Form 20-F incorporated by reference in this prospectus, and the “Risk Factors” referenced on page 3 of this prospectus, and in any applicable supplement to this prospectus, for a discussion of the factors you should consider carefully before deciding to purchase these securities.</w:t>
      </w:r>
    </w:p>
    <w:p>
      <w:pPr>
        <w:spacing w:after="0" w:line="19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Neither the Securities and Exchange Commission nor any state securities commission has approved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disapproved of the securities being offered by this prospectus, or determined if this prospectus is truthful or complete.</w:t>
      </w:r>
    </w:p>
    <w:p>
      <w:pPr>
        <w:spacing w:after="0"/>
        <w:rPr>
          <w:sz w:val="20"/>
          <w:szCs w:val="20"/>
          <w:color w:val="auto"/>
        </w:rPr>
      </w:pPr>
      <w:r>
        <w:rPr>
          <w:rFonts w:ascii="Times New Roman" w:cs="Times New Roman" w:eastAsia="Times New Roman" w:hAnsi="Times New Roman"/>
          <w:sz w:val="22"/>
          <w:szCs w:val="22"/>
          <w:b w:val="1"/>
          <w:bCs w:val="1"/>
          <w:color w:val="auto"/>
        </w:rPr>
        <w:t>Any representation to the contrary is a criminal offense.</w:t>
      </w: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The date of this prospectus is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18" w:right="4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86"/>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80" w:type="dxa"/>
            <w:vAlign w:val="bottom"/>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0" w:type="dxa"/>
            <w:vAlign w:val="bottom"/>
          </w:tcPr>
          <w:p>
            <w:pPr>
              <w:spacing w:after="0"/>
              <w:rPr>
                <w:sz w:val="1"/>
                <w:szCs w:val="1"/>
                <w:color w:val="auto"/>
              </w:rPr>
            </w:pPr>
          </w:p>
        </w:tc>
      </w:tr>
      <w:tr>
        <w:trPr>
          <w:trHeight w:val="447"/>
        </w:trPr>
        <w:tc>
          <w:tcPr>
            <w:tcW w:w="36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440" w:type="dxa"/>
            <w:vAlign w:val="bottom"/>
          </w:tcPr>
          <w:p>
            <w:pPr>
              <w:spacing w:after="0"/>
              <w:rPr>
                <w:sz w:val="24"/>
                <w:szCs w:val="24"/>
                <w:color w:val="auto"/>
              </w:rPr>
            </w:pPr>
          </w:p>
        </w:tc>
        <w:tc>
          <w:tcPr>
            <w:tcW w:w="1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3660" w:type="dxa"/>
            <w:vAlign w:val="bottom"/>
            <w:gridSpan w:val="15"/>
            <w:vMerge w:val="continue"/>
          </w:tcPr>
          <w:p>
            <w:pPr>
              <w:spacing w:after="0"/>
              <w:rPr>
                <w:sz w:val="14"/>
                <w:szCs w:val="14"/>
                <w:color w:val="auto"/>
              </w:rPr>
            </w:pPr>
          </w:p>
        </w:tc>
        <w:tc>
          <w:tcPr>
            <w:tcW w:w="6440" w:type="dxa"/>
            <w:vAlign w:val="bottom"/>
          </w:tcPr>
          <w:p>
            <w:pPr>
              <w:spacing w:after="0"/>
              <w:rPr>
                <w:sz w:val="14"/>
                <w:szCs w:val="14"/>
                <w:color w:val="auto"/>
              </w:rPr>
            </w:pPr>
          </w:p>
        </w:tc>
        <w:tc>
          <w:tcPr>
            <w:tcW w:w="1140" w:type="dxa"/>
            <w:vAlign w:val="bottom"/>
          </w:tcPr>
          <w:p>
            <w:pPr>
              <w:jc w:val="center"/>
              <w:ind w:left="90"/>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MediWound Ltd.</w:t>
            </w:r>
          </w:p>
        </w:tc>
        <w:tc>
          <w:tcPr>
            <w:tcW w:w="2080" w:type="dxa"/>
            <w:vAlign w:val="bottom"/>
            <w:gridSpan w:val="8"/>
          </w:tcPr>
          <w:p>
            <w:pPr>
              <w:spacing w:after="0"/>
              <w:rPr>
                <w:sz w:val="17"/>
                <w:szCs w:val="17"/>
                <w:color w:val="auto"/>
              </w:rPr>
            </w:pPr>
          </w:p>
        </w:tc>
        <w:tc>
          <w:tcPr>
            <w:tcW w:w="7580" w:type="dxa"/>
            <w:vAlign w:val="bottom"/>
            <w:gridSpan w:val="2"/>
          </w:tcPr>
          <w:p>
            <w:pPr>
              <w:jc w:val="center"/>
              <w:ind w:left="6529"/>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320" w:type="dxa"/>
            <w:vAlign w:val="bottom"/>
            <w:tcBorders>
              <w:top w:val="single" w:sz="8" w:color="0000EE"/>
            </w:tcBorders>
            <w:gridSpan w:val="3"/>
          </w:tcPr>
          <w:p>
            <w:pPr>
              <w:spacing w:after="0"/>
              <w:rPr>
                <w:sz w:val="17"/>
                <w:szCs w:val="17"/>
                <w:color w:val="auto"/>
              </w:rPr>
            </w:pPr>
          </w:p>
        </w:tc>
        <w:tc>
          <w:tcPr>
            <w:tcW w:w="2420" w:type="dxa"/>
            <w:vAlign w:val="bottom"/>
            <w:gridSpan w:val="10"/>
          </w:tcPr>
          <w:p>
            <w:pPr>
              <w:spacing w:after="0"/>
              <w:rPr>
                <w:sz w:val="17"/>
                <w:szCs w:val="17"/>
                <w:color w:val="auto"/>
              </w:rPr>
            </w:pPr>
          </w:p>
        </w:tc>
        <w:tc>
          <w:tcPr>
            <w:tcW w:w="7580" w:type="dxa"/>
            <w:vAlign w:val="bottom"/>
            <w:gridSpan w:val="2"/>
          </w:tcPr>
          <w:p>
            <w:pPr>
              <w:jc w:val="center"/>
              <w:ind w:left="6529"/>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3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580" w:type="dxa"/>
            <w:vAlign w:val="bottom"/>
            <w:gridSpan w:val="2"/>
          </w:tcPr>
          <w:p>
            <w:pPr>
              <w:jc w:val="center"/>
              <w:ind w:left="6529"/>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40" w:type="dxa"/>
            <w:vAlign w:val="bottom"/>
            <w:tcBorders>
              <w:top w:val="single" w:sz="8" w:color="0000EE"/>
            </w:tcBorders>
            <w:gridSpan w:val="5"/>
          </w:tcPr>
          <w:p>
            <w:pPr>
              <w:spacing w:after="0"/>
              <w:rPr>
                <w:sz w:val="17"/>
                <w:szCs w:val="17"/>
                <w:color w:val="auto"/>
              </w:rPr>
            </w:pPr>
          </w:p>
        </w:tc>
        <w:tc>
          <w:tcPr>
            <w:tcW w:w="1540" w:type="dxa"/>
            <w:vAlign w:val="bottom"/>
            <w:gridSpan w:val="6"/>
          </w:tcPr>
          <w:p>
            <w:pPr>
              <w:spacing w:after="0"/>
              <w:rPr>
                <w:sz w:val="17"/>
                <w:szCs w:val="17"/>
                <w:color w:val="auto"/>
              </w:rPr>
            </w:pPr>
          </w:p>
        </w:tc>
        <w:tc>
          <w:tcPr>
            <w:tcW w:w="7580" w:type="dxa"/>
            <w:vAlign w:val="bottom"/>
            <w:gridSpan w:val="2"/>
          </w:tcPr>
          <w:p>
            <w:pPr>
              <w:jc w:val="center"/>
              <w:ind w:left="6529"/>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Shareholder</w:t>
            </w:r>
          </w:p>
        </w:tc>
        <w:tc>
          <w:tcPr>
            <w:tcW w:w="2220" w:type="dxa"/>
            <w:vAlign w:val="bottom"/>
            <w:gridSpan w:val="9"/>
          </w:tcPr>
          <w:p>
            <w:pPr>
              <w:spacing w:after="0"/>
              <w:rPr>
                <w:sz w:val="17"/>
                <w:szCs w:val="17"/>
                <w:color w:val="auto"/>
              </w:rPr>
            </w:pPr>
          </w:p>
        </w:tc>
        <w:tc>
          <w:tcPr>
            <w:tcW w:w="7580" w:type="dxa"/>
            <w:vAlign w:val="bottom"/>
            <w:gridSpan w:val="2"/>
          </w:tcPr>
          <w:p>
            <w:pPr>
              <w:jc w:val="center"/>
              <w:ind w:left="6529"/>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1860" w:type="dxa"/>
            <w:vAlign w:val="bottom"/>
            <w:gridSpan w:val="7"/>
          </w:tcPr>
          <w:p>
            <w:pPr>
              <w:spacing w:after="0"/>
              <w:rPr>
                <w:sz w:val="17"/>
                <w:szCs w:val="17"/>
                <w:color w:val="auto"/>
              </w:rPr>
            </w:pPr>
          </w:p>
        </w:tc>
        <w:tc>
          <w:tcPr>
            <w:tcW w:w="7580" w:type="dxa"/>
            <w:vAlign w:val="bottom"/>
            <w:gridSpan w:val="2"/>
          </w:tcPr>
          <w:p>
            <w:pPr>
              <w:jc w:val="center"/>
              <w:ind w:left="6529"/>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3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Ordinary Shares</w:t>
            </w:r>
          </w:p>
        </w:tc>
        <w:tc>
          <w:tcPr>
            <w:tcW w:w="7580" w:type="dxa"/>
            <w:vAlign w:val="bottom"/>
            <w:gridSpan w:val="2"/>
          </w:tcPr>
          <w:p>
            <w:pPr>
              <w:jc w:val="center"/>
              <w:ind w:left="6529"/>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0" w:type="dxa"/>
            <w:vAlign w:val="bottom"/>
            <w:tcBorders>
              <w:top w:val="single" w:sz="8" w:color="0000EE"/>
            </w:tcBorders>
          </w:tcPr>
          <w:p>
            <w:pPr>
              <w:spacing w:after="0"/>
              <w:rPr>
                <w:sz w:val="17"/>
                <w:szCs w:val="17"/>
                <w:color w:val="auto"/>
              </w:rPr>
            </w:pPr>
          </w:p>
        </w:tc>
        <w:tc>
          <w:tcPr>
            <w:tcW w:w="1400" w:type="dxa"/>
            <w:vAlign w:val="bottom"/>
            <w:gridSpan w:val="4"/>
          </w:tcPr>
          <w:p>
            <w:pPr>
              <w:spacing w:after="0"/>
              <w:rPr>
                <w:sz w:val="17"/>
                <w:szCs w:val="17"/>
                <w:color w:val="auto"/>
              </w:rPr>
            </w:pPr>
          </w:p>
        </w:tc>
        <w:tc>
          <w:tcPr>
            <w:tcW w:w="7580" w:type="dxa"/>
            <w:vAlign w:val="bottom"/>
            <w:gridSpan w:val="2"/>
          </w:tcPr>
          <w:p>
            <w:pPr>
              <w:jc w:val="center"/>
              <w:ind w:left="6529"/>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220" w:type="dxa"/>
            <w:vAlign w:val="bottom"/>
            <w:gridSpan w:val="9"/>
          </w:tcPr>
          <w:p>
            <w:pPr>
              <w:spacing w:after="0"/>
              <w:rPr>
                <w:sz w:val="17"/>
                <w:szCs w:val="17"/>
                <w:color w:val="auto"/>
              </w:rPr>
            </w:pPr>
          </w:p>
        </w:tc>
        <w:tc>
          <w:tcPr>
            <w:tcW w:w="7580" w:type="dxa"/>
            <w:vAlign w:val="bottom"/>
            <w:gridSpan w:val="2"/>
          </w:tcPr>
          <w:p>
            <w:pPr>
              <w:jc w:val="center"/>
              <w:ind w:left="6549"/>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Expenses Associated with the Registration</w:t>
            </w:r>
          </w:p>
        </w:tc>
        <w:tc>
          <w:tcPr>
            <w:tcW w:w="580" w:type="dxa"/>
            <w:vAlign w:val="bottom"/>
          </w:tcPr>
          <w:p>
            <w:pPr>
              <w:spacing w:after="0"/>
              <w:rPr>
                <w:sz w:val="17"/>
                <w:szCs w:val="17"/>
                <w:color w:val="auto"/>
              </w:rPr>
            </w:pPr>
          </w:p>
        </w:tc>
        <w:tc>
          <w:tcPr>
            <w:tcW w:w="7580" w:type="dxa"/>
            <w:vAlign w:val="bottom"/>
            <w:gridSpan w:val="2"/>
          </w:tcPr>
          <w:p>
            <w:pPr>
              <w:jc w:val="center"/>
              <w:ind w:left="6549"/>
              <w:spacing w:after="0" w:line="196"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Matters</w:t>
            </w:r>
          </w:p>
        </w:tc>
        <w:tc>
          <w:tcPr>
            <w:tcW w:w="2640" w:type="dxa"/>
            <w:vAlign w:val="bottom"/>
            <w:gridSpan w:val="12"/>
          </w:tcPr>
          <w:p>
            <w:pPr>
              <w:spacing w:after="0"/>
              <w:rPr>
                <w:sz w:val="17"/>
                <w:szCs w:val="17"/>
                <w:color w:val="auto"/>
              </w:rPr>
            </w:pPr>
          </w:p>
        </w:tc>
        <w:tc>
          <w:tcPr>
            <w:tcW w:w="7580" w:type="dxa"/>
            <w:vAlign w:val="bottom"/>
            <w:gridSpan w:val="2"/>
          </w:tcPr>
          <w:p>
            <w:pPr>
              <w:jc w:val="center"/>
              <w:ind w:left="6549"/>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Experts</w:t>
            </w:r>
          </w:p>
        </w:tc>
        <w:tc>
          <w:tcPr>
            <w:tcW w:w="3100" w:type="dxa"/>
            <w:vAlign w:val="bottom"/>
            <w:gridSpan w:val="14"/>
          </w:tcPr>
          <w:p>
            <w:pPr>
              <w:spacing w:after="0"/>
              <w:rPr>
                <w:sz w:val="17"/>
                <w:szCs w:val="17"/>
                <w:color w:val="auto"/>
              </w:rPr>
            </w:pPr>
          </w:p>
        </w:tc>
        <w:tc>
          <w:tcPr>
            <w:tcW w:w="7580" w:type="dxa"/>
            <w:vAlign w:val="bottom"/>
            <w:gridSpan w:val="2"/>
          </w:tcPr>
          <w:p>
            <w:pPr>
              <w:jc w:val="center"/>
              <w:ind w:left="6549"/>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80" w:type="dxa"/>
            <w:vAlign w:val="bottom"/>
            <w:gridSpan w:val="2"/>
          </w:tcPr>
          <w:p>
            <w:pPr>
              <w:spacing w:after="0"/>
              <w:rPr>
                <w:sz w:val="17"/>
                <w:szCs w:val="17"/>
                <w:color w:val="auto"/>
              </w:rPr>
            </w:pPr>
          </w:p>
        </w:tc>
        <w:tc>
          <w:tcPr>
            <w:tcW w:w="7580" w:type="dxa"/>
            <w:vAlign w:val="bottom"/>
            <w:gridSpan w:val="2"/>
          </w:tcPr>
          <w:p>
            <w:pPr>
              <w:jc w:val="center"/>
              <w:ind w:left="6549"/>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7580" w:type="dxa"/>
            <w:vAlign w:val="bottom"/>
            <w:gridSpan w:val="2"/>
          </w:tcPr>
          <w:p>
            <w:pPr>
              <w:jc w:val="center"/>
              <w:ind w:left="6549"/>
              <w:spacing w:after="0" w:line="19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96"/>
        </w:trPr>
        <w:tc>
          <w:tcPr>
            <w:tcW w:w="3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580" w:type="dxa"/>
            <w:vAlign w:val="bottom"/>
            <w:gridSpan w:val="2"/>
          </w:tcPr>
          <w:p>
            <w:pPr>
              <w:jc w:val="center"/>
              <w:ind w:left="6549"/>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479"/>
        </w:trPr>
        <w:tc>
          <w:tcPr>
            <w:tcW w:w="5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5" w:right="33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ABOUT THIS PROSPECTUS</w:t>
      </w:r>
    </w:p>
    <w:p>
      <w:pPr>
        <w:spacing w:after="0" w:line="237" w:lineRule="exact"/>
        <w:rPr>
          <w:sz w:val="20"/>
          <w:szCs w:val="20"/>
          <w:color w:val="auto"/>
        </w:rPr>
      </w:pPr>
    </w:p>
    <w:p>
      <w:pPr>
        <w:ind w:right="100" w:firstLine="713"/>
        <w:spacing w:after="0" w:line="239" w:lineRule="auto"/>
        <w:rPr>
          <w:sz w:val="20"/>
          <w:szCs w:val="20"/>
          <w:color w:val="auto"/>
        </w:rPr>
      </w:pPr>
      <w:r>
        <w:rPr>
          <w:rFonts w:ascii="Times New Roman" w:cs="Times New Roman" w:eastAsia="Times New Roman" w:hAnsi="Times New Roman"/>
          <w:sz w:val="22"/>
          <w:szCs w:val="22"/>
          <w:color w:val="auto"/>
        </w:rPr>
        <w:t>This prospectus is part of a registration statement that we filed with the Securities and Exchange Commission, or SEC, utilizing a “shelf” registration process. Under this process, we may offer and sell our securities under this prospectus and an accompanying prospectus supplement, and the selling shareholder referred to in this prospectus and identified in supplements to this prospectus may also offer and sell our ordinary shares under this prospectus.</w:t>
      </w:r>
    </w:p>
    <w:p>
      <w:pPr>
        <w:spacing w:after="0" w:line="207" w:lineRule="exact"/>
        <w:rPr>
          <w:sz w:val="20"/>
          <w:szCs w:val="20"/>
          <w:color w:val="auto"/>
        </w:rPr>
      </w:pPr>
    </w:p>
    <w:p>
      <w:pPr>
        <w:jc w:val="both"/>
        <w:ind w:right="260" w:firstLine="713"/>
        <w:spacing w:after="0" w:line="239" w:lineRule="auto"/>
        <w:rPr>
          <w:sz w:val="20"/>
          <w:szCs w:val="20"/>
          <w:color w:val="auto"/>
        </w:rPr>
      </w:pPr>
      <w:r>
        <w:rPr>
          <w:rFonts w:ascii="Times New Roman" w:cs="Times New Roman" w:eastAsia="Times New Roman" w:hAnsi="Times New Roman"/>
          <w:sz w:val="22"/>
          <w:szCs w:val="22"/>
          <w:color w:val="auto"/>
        </w:rPr>
        <w:t>Under this shelf process, we may offer the securities described in this prospectus in one or more offerings up to a total price to the public of $125 million. The selling shareholder may sell up to 1,266,141 ordinary shares in one or more offerings. The offer and sale of securities under this prospectus may be made from time to time, in one or more offerings, in any manner described under the section in this prospectus entitled “Plan of Distribution.”</w:t>
      </w:r>
    </w:p>
    <w:p>
      <w:pPr>
        <w:spacing w:after="0" w:line="207" w:lineRule="exact"/>
        <w:rPr>
          <w:sz w:val="20"/>
          <w:szCs w:val="20"/>
          <w:color w:val="auto"/>
        </w:rPr>
      </w:pPr>
    </w:p>
    <w:p>
      <w:pPr>
        <w:ind w:firstLine="713"/>
        <w:spacing w:after="0" w:line="236" w:lineRule="auto"/>
        <w:rPr>
          <w:sz w:val="20"/>
          <w:szCs w:val="20"/>
          <w:color w:val="auto"/>
        </w:rPr>
      </w:pPr>
      <w:r>
        <w:rPr>
          <w:rFonts w:ascii="Times New Roman" w:cs="Times New Roman" w:eastAsia="Times New Roman" w:hAnsi="Times New Roman"/>
          <w:sz w:val="22"/>
          <w:szCs w:val="22"/>
          <w:color w:val="auto"/>
        </w:rP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208" w:lineRule="exact"/>
        <w:rPr>
          <w:sz w:val="20"/>
          <w:szCs w:val="20"/>
          <w:color w:val="auto"/>
        </w:rPr>
      </w:pPr>
    </w:p>
    <w:p>
      <w:pPr>
        <w:ind w:right="200" w:firstLine="713"/>
        <w:spacing w:after="0" w:line="238" w:lineRule="auto"/>
        <w:rPr>
          <w:sz w:val="20"/>
          <w:szCs w:val="20"/>
          <w:color w:val="auto"/>
        </w:rPr>
      </w:pPr>
      <w:r>
        <w:rPr>
          <w:rFonts w:ascii="Times New Roman" w:cs="Times New Roman" w:eastAsia="Times New Roman" w:hAnsi="Times New Roman"/>
          <w:sz w:val="22"/>
          <w:szCs w:val="22"/>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referred to in “Risk Factors” and “Forward-Looking Statements.”</w:t>
      </w:r>
    </w:p>
    <w:p>
      <w:pPr>
        <w:spacing w:after="0" w:line="204" w:lineRule="exact"/>
        <w:rPr>
          <w:sz w:val="20"/>
          <w:szCs w:val="20"/>
          <w:color w:val="auto"/>
        </w:rPr>
      </w:pPr>
    </w:p>
    <w:p>
      <w:pPr>
        <w:ind w:right="300" w:firstLine="713"/>
        <w:spacing w:after="0" w:line="258" w:lineRule="auto"/>
        <w:rPr>
          <w:sz w:val="20"/>
          <w:szCs w:val="20"/>
          <w:color w:val="auto"/>
        </w:rPr>
      </w:pPr>
      <w:r>
        <w:rPr>
          <w:rFonts w:ascii="Times New Roman" w:cs="Times New Roman" w:eastAsia="Times New Roman" w:hAnsi="Times New Roman"/>
          <w:sz w:val="22"/>
          <w:szCs w:val="22"/>
          <w:color w:val="auto"/>
        </w:rPr>
        <w:t>References to “we,” “us” and “our” in this prospectus, unless the context otherwise requires or as otherwise expressly stated, refer to MediWound Ltd and its subsidiaries.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675" w:right="3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2"/>
          <w:szCs w:val="22"/>
          <w:b w:val="1"/>
          <w:bCs w:val="1"/>
          <w:color w:val="auto"/>
        </w:rPr>
        <w:t>MEDIWOUND LTD.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Overview</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We are a global leader in next-generation enzymatic therapeutics focused on non-surgical tissue repair. Our solutions selectively remove non-viable hazardous tissue while preserving healthy tissue, offering a safer and more effective alternative to traditional methods. With robust in-house research, development, and manufacturing capabilities, the company produces and commercializes cutting-edge biologics for wound and burn care that exceed existing standards of care, improve patient outcomes, and reduce healthcare costs by eliminating the need for surgical interventions.</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Our flagship product, NexoBrid, is a topically administered biological orphan drug that enzymatically removes eschar while preserving viable tissue in patients with deep partial- and full-thickness thermal burns. It is approved for use in more than 40 countries, including the United States, in the European Union, and Japan.</w:t>
      </w:r>
    </w:p>
    <w:p>
      <w:pPr>
        <w:spacing w:after="0" w:line="200" w:lineRule="exact"/>
        <w:rPr>
          <w:sz w:val="20"/>
          <w:szCs w:val="20"/>
          <w:color w:val="auto"/>
        </w:rPr>
      </w:pPr>
    </w:p>
    <w:p>
      <w:pPr>
        <w:jc w:val="both"/>
        <w:ind w:firstLine="744"/>
        <w:spacing w:after="0" w:line="234" w:lineRule="auto"/>
        <w:rPr>
          <w:sz w:val="20"/>
          <w:szCs w:val="20"/>
          <w:color w:val="auto"/>
        </w:rPr>
      </w:pPr>
      <w:r>
        <w:rPr>
          <w:rFonts w:ascii="Times New Roman" w:cs="Times New Roman" w:eastAsia="Times New Roman" w:hAnsi="Times New Roman"/>
          <w:sz w:val="22"/>
          <w:szCs w:val="22"/>
          <w:color w:val="auto"/>
        </w:rPr>
        <w:t>Building on our proprietary enzymatic technology, we are advancing EscharEx</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a Phase III pipeline drug for the treatment of chronic wounds. EscharEx is a bioactive, multimodal debridement therapy for the treatment of chronic and other hard-to-heal wounds, currently in the advanced stages of clinical development. It is a concentrate of proteolytic enzymes, enriched with bromelain, designed for topical and easy-to-use daily applications. In three Phase II clinical trials, EscharEx has demonstrated a strong safety profile and efficacy in debridement, granulation tissue promotion, and the reduction of bioburden and biofilm, effectively preparing wound beds for healing. In February 2025 we announced the initiation of VALUE, a global, pivotal Phase III trial evaluating EscharEx for the treatment of venous leg ulcers (VLUs). In addition to the VALUE study, we plan to initiate a randomized, head-to-head Phase II study in 2025, comparing EscharEx to collagenase in VLU patients. Furthermore, we are advancing preparations for an adaptive design Phase II/III clinical trial targeting diabetic foot ulcers (DFUs), which is expected to begin in 2026.</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Our pipeline also includes MW005, a topical therapeutic for the treatment of basal cell carcinoma that has demonstrated positive results in a Phase I/II study.</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We manufacture NexoBrid and our product candidates in our cGMP certified sterile manufacturing facility at our headquarters in Yavne,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Information</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We were incorporated under the laws of the State of Israel on January 27, 2000. Our principal executive offices are located at 42 Hayarkon Street, Yavne 8122745, Israel, and our telephone number is +972-77-971-4100. Our website is www.MediWound.com. The information contained on, or that can be accessed through, our website does not constitute a part of this prospectus and is not incorporated by reference herein. Our agent for service of process in the United States is Puglisi &amp; Associates, located at 850 Library Avenue, Suite 204, Newark, Delaware 19711, and its telephone number is +1 (302) 738-6680.</w:t>
      </w:r>
    </w:p>
    <w:p>
      <w:pPr>
        <w:spacing w:after="0" w:line="19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Throughout this prospectus, we refer to various trademarks, service marks and trade names that we use in our business. The “MediWound” design logo, “MediWound”, “NexoBrid”, “EscharEx” and other trademarks or service marks of MediWound Ltd. appearing in this prospectus are the property of MediWound Ltd. We have several other registered trademarks, service marks and pending applications relating to our products. Although we have omitted the “®”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37" w:lineRule="exact"/>
        <w:rPr>
          <w:sz w:val="20"/>
          <w:szCs w:val="20"/>
          <w:color w:val="auto"/>
        </w:rPr>
      </w:pPr>
    </w:p>
    <w:p>
      <w:pPr>
        <w:ind w:firstLine="714"/>
        <w:spacing w:after="0" w:line="236" w:lineRule="auto"/>
        <w:rPr>
          <w:sz w:val="20"/>
          <w:szCs w:val="20"/>
          <w:color w:val="auto"/>
        </w:rPr>
      </w:pPr>
      <w:r>
        <w:rPr>
          <w:rFonts w:ascii="Times New Roman" w:cs="Times New Roman" w:eastAsia="Times New Roman" w:hAnsi="Times New Roman"/>
          <w:sz w:val="22"/>
          <w:szCs w:val="22"/>
          <w:color w:val="auto"/>
        </w:rPr>
        <w:t>An investment in our securities involves a high degree of risk. Our business, financial condition or results of operations could be adversely affected by any of these risks. If any of these risks is actualized, the value of our ordinary shares and our other securities may decline. You should carefully consider the risk factors discussed under the caption “Risk Factors” in our Annual Report on Form 20-F for the year ended December 31, 2024 as filed with the SEC on March 19 2025, in any other filings that we make with the SEC subsequent to the date of this prospectus which are incorporated herein by reference, and in any supplement to this prospectus, before making your investment decision.</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713"/>
        <w:spacing w:after="0" w:line="234" w:lineRule="auto"/>
        <w:rPr>
          <w:sz w:val="20"/>
          <w:szCs w:val="20"/>
          <w:color w:val="auto"/>
        </w:rPr>
      </w:pPr>
      <w:r>
        <w:rPr>
          <w:rFonts w:ascii="Times New Roman" w:cs="Times New Roman" w:eastAsia="Times New Roman" w:hAnsi="Times New Roman"/>
          <w:sz w:val="22"/>
          <w:szCs w:val="22"/>
          <w:color w:val="auto"/>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210" w:lineRule="exact"/>
        <w:rPr>
          <w:sz w:val="20"/>
          <w:szCs w:val="20"/>
          <w:color w:val="auto"/>
        </w:rPr>
      </w:pPr>
    </w:p>
    <w:p>
      <w:pPr>
        <w:ind w:right="40" w:firstLine="714"/>
        <w:spacing w:after="0" w:line="235" w:lineRule="auto"/>
        <w:rPr>
          <w:sz w:val="20"/>
          <w:szCs w:val="20"/>
          <w:color w:val="auto"/>
        </w:rPr>
      </w:pPr>
      <w:r>
        <w:rPr>
          <w:rFonts w:ascii="Times New Roman" w:cs="Times New Roman" w:eastAsia="Times New Roman" w:hAnsi="Times New Roman"/>
          <w:sz w:val="22"/>
          <w:szCs w:val="22"/>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any supplement to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75" w:right="39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37" w:lineRule="exact"/>
        <w:rPr>
          <w:sz w:val="20"/>
          <w:szCs w:val="20"/>
          <w:color w:val="auto"/>
        </w:rPr>
      </w:pPr>
    </w:p>
    <w:p>
      <w:pPr>
        <w:ind w:firstLine="713"/>
        <w:spacing w:after="0" w:line="238" w:lineRule="auto"/>
        <w:rPr>
          <w:sz w:val="20"/>
          <w:szCs w:val="20"/>
          <w:color w:val="auto"/>
        </w:rPr>
      </w:pPr>
      <w:r>
        <w:rPr>
          <w:rFonts w:ascii="Times New Roman" w:cs="Times New Roman" w:eastAsia="Times New Roman" w:hAnsi="Times New Roman"/>
          <w:sz w:val="22"/>
          <w:szCs w:val="22"/>
          <w:color w:val="auto"/>
        </w:rPr>
        <w:t>Unless otherwise indicated in the applicable prospectus supplement, we intend to use the net proceeds from the sale of securities offered by us pursuant to this prospectus for general corporate purposes, which may include continued product development and commercialization.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spacing w:after="0" w:line="204" w:lineRule="exact"/>
        <w:rPr>
          <w:sz w:val="20"/>
          <w:szCs w:val="20"/>
          <w:color w:val="auto"/>
        </w:rPr>
      </w:pPr>
    </w:p>
    <w:p>
      <w:pPr>
        <w:ind w:right="20" w:firstLine="713"/>
        <w:spacing w:after="0" w:line="258" w:lineRule="auto"/>
        <w:rPr>
          <w:sz w:val="20"/>
          <w:szCs w:val="20"/>
          <w:color w:val="auto"/>
        </w:rPr>
      </w:pPr>
      <w:r>
        <w:rPr>
          <w:rFonts w:ascii="Times New Roman" w:cs="Times New Roman" w:eastAsia="Times New Roman" w:hAnsi="Times New Roman"/>
          <w:sz w:val="22"/>
          <w:szCs w:val="22"/>
          <w:color w:val="auto"/>
        </w:rPr>
        <w:t>Unless otherwise set forth in a prospectus supplement, we will not receive any proceeds from the sale of ordinary shares by the selling shareholder.</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2"/>
          <w:szCs w:val="22"/>
          <w:b w:val="1"/>
          <w:bCs w:val="1"/>
          <w:color w:val="auto"/>
        </w:rPr>
        <w:t>SELLING SHAREHOLDER</w:t>
      </w:r>
    </w:p>
    <w:p>
      <w:pPr>
        <w:spacing w:after="0" w:line="237" w:lineRule="exact"/>
        <w:rPr>
          <w:sz w:val="20"/>
          <w:szCs w:val="20"/>
          <w:color w:val="auto"/>
        </w:rPr>
      </w:pPr>
    </w:p>
    <w:p>
      <w:pPr>
        <w:ind w:right="560" w:firstLine="648"/>
        <w:spacing w:after="0" w:line="258" w:lineRule="auto"/>
        <w:rPr>
          <w:sz w:val="20"/>
          <w:szCs w:val="20"/>
          <w:color w:val="auto"/>
        </w:rPr>
      </w:pPr>
      <w:r>
        <w:rPr>
          <w:rFonts w:ascii="Times New Roman" w:cs="Times New Roman" w:eastAsia="Times New Roman" w:hAnsi="Times New Roman"/>
          <w:sz w:val="22"/>
          <w:szCs w:val="22"/>
          <w:color w:val="auto"/>
        </w:rPr>
        <w:t>The selling shareholder and its affiliated entities may offer and sell from time to time pursuant to this prospectus, an aggregate of up to 1,266,141 of our ordinary shares.</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21"/>
          <w:szCs w:val="21"/>
          <w:color w:val="auto"/>
        </w:rPr>
        <w:t>The selling shareholder entities have the right to include their securities in a registration or offering effected by us under the terms of our Registration Rights Agreement dated April 6, 2021, which we refer to as the Registration Rights Agreement.</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Except as otherwise disclosed in the footnotes below, the selling shareholder entities do not, or within the past three years have not had, any position, office or other material relationship with us.</w:t>
      </w:r>
    </w:p>
    <w:p>
      <w:pPr>
        <w:spacing w:after="0" w:line="185"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1"/>
          <w:szCs w:val="21"/>
          <w:color w:val="auto"/>
        </w:rPr>
        <w:t>The following table sets forth the name of the selling shareholder, the number of ordinary shares beneficially owned by the selling shareholder as of the date of this prospectus, the number of ordinary shares that may be offered under this prospectus and the number of ordinary shares beneficially owned by the selling shareholder assuming all of the shares covered hereby are sold. The number of ordinary shares in the column “Number of Shares Being Offered” represents all of the ordinary shares that the selling shareholder may offer under this prospectus. The selling shareholder may sell some, all or none of its ordinary shares. We do not know how long the selling shareholder will hold the ordinary shares before selling them, and we currently have no agreements, arrangements or understandings with the selling shareholder regarding the sale or other disposition of any of the ordinary shares. The ordinary shares covered hereby may be offered from time to time by the selling shareholder.</w:t>
      </w:r>
    </w:p>
    <w:p>
      <w:pPr>
        <w:spacing w:after="0" w:line="199"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The information set forth below is based upon information obtained from the selling shareholder and information in our possession regarding the original issuance of the ordinary shares. The percentages of shares owned both before and after the offering are based on 10,793,057 ordinary shares outstanding as of the date of the prospectus, excluding the ordinary shares covered hereby.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Owned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Shares Beneficially Owned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After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5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Prior to Offering(1)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Being Offered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Offering(2)</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5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Name of Selling Shareholder</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Percent</w:t>
            </w:r>
          </w:p>
        </w:tc>
        <w:tc>
          <w:tcPr>
            <w:tcW w:w="2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Clal Biotechnology Industries(3)</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1,481,522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1,266,141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215,381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left="340" w:hanging="215"/>
        <w:spacing w:after="0" w:line="258" w:lineRule="auto"/>
        <w:rPr>
          <w:sz w:val="20"/>
          <w:szCs w:val="20"/>
          <w:color w:val="auto"/>
        </w:rPr>
      </w:pPr>
      <w:r>
        <w:rPr>
          <w:rFonts w:ascii="Times New Roman" w:cs="Times New Roman" w:eastAsia="Times New Roman" w:hAnsi="Times New Roman"/>
          <w:sz w:val="18"/>
          <w:szCs w:val="18"/>
          <w:color w:val="auto"/>
        </w:rPr>
        <w:t>(1)“Beneficial ownership” is a term broadly defined by the SEC in Rule 13d-3 under the Exchange Act and includes more than the typical form of share ownership, that is, shares held in the person’s name. The term also includes what is referred to as “indirect ownership,” meaning ownership of shares as to which a person has or shares investment power. In computing the number of shares beneficially owned by the selling shareholder and the percentage ownership of the selling shareholder, we have included shares (if any) that the selling shareholder has the right to acquire within 60 days of the date of this prospectus, including through the exercise of any option, warrant or other right or the conversion of any other security.</w:t>
      </w:r>
    </w:p>
    <w:p>
      <w:pPr>
        <w:spacing w:after="0" w:line="183" w:lineRule="exact"/>
        <w:rPr>
          <w:sz w:val="20"/>
          <w:szCs w:val="20"/>
          <w:color w:val="auto"/>
        </w:rPr>
      </w:pPr>
    </w:p>
    <w:p>
      <w:pPr>
        <w:jc w:val="both"/>
        <w:ind w:left="340" w:hanging="215"/>
        <w:spacing w:after="0" w:line="282" w:lineRule="auto"/>
        <w:rPr>
          <w:sz w:val="20"/>
          <w:szCs w:val="20"/>
          <w:color w:val="auto"/>
        </w:rPr>
      </w:pPr>
      <w:r>
        <w:rPr>
          <w:rFonts w:ascii="Times New Roman" w:cs="Times New Roman" w:eastAsia="Times New Roman" w:hAnsi="Times New Roman"/>
          <w:sz w:val="18"/>
          <w:szCs w:val="18"/>
          <w:color w:val="auto"/>
        </w:rPr>
        <w:t>(2)Assumes that all shares being registered in this prospectus are resold to third parties and that with respect to the selling shareholder, such selling shareholder sells all ordinary shares registered under this prospectus held by such selling shareholder.</w:t>
      </w:r>
    </w:p>
    <w:p>
      <w:pPr>
        <w:spacing w:after="0" w:line="162"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(3)Based solely on a Schedule 13D/A filed on July 19, 2024, Clal Biotechnology Industries Ltd. (“CBI”) owns directly 308,811 ordinary shares, and may be deemed to share voting and investment power over 1,172,710 ordinary shares owned directly by Clal Life Sciences L.P. (“CLS”), the general partner of which, Clal Application Center Ltd., is wholly owned by CBI. Each of Access Industries Holdings LLC (“AIH”), Access Industries, LLC (“Access LLC”), Access Industries Management, LLC (“AIM”), Clal Industries Ltd. (“Clal Industries”) and Len Blavatnik may be deemed to share voting and investment power over the ordinary shares owned directly by CBI and CLS because (i) Mr. Blavatnik controls AIM, AIH, Access LLC and AI International GP Limited (the general partner of AI SMS, as defined below), (ii) AIM controls Access LLC and AIH, (iii) Access LLC controls a majority of the outstanding voting interests in AIH, (iv) AIH owns a majority of the equity of AI SMS L.P. (“AI SMS”), (v) AI SMS controls AI Diversified Holdings Ltd. (“Holdings Limited”), (vi) Holdings Limited owns AI Diversified Parent S.à r.l., which owns AI Diversified Holdings S.à r.l., which owns Access AI Ltd (“Access AI”), (vii) Access AI wholly owns Clal Industries, (viii) Clal Industries is the controlling shareholder of CBI, and (ix) CBI is the sole shareholder of Clal Application Center Ltd. The foregoing entities, other than CBI and CLS, and each of their affiliated entities and the officers, partners, members and managers thereof, disclaim beneficial ownership of these securities. The address of Clal Industries Ltd. is the Triangular Tower, 3 Azrieli Center, Tel Aviv 67023, Israel and the address of Access Industries Holdings LLC is c/o Access Industries Inc., 40 West 57th Street, New York, New York 10019, United States.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4" w:name="page35"/>
    <w:bookmarkEnd w:id="34"/>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237" w:lineRule="exact"/>
        <w:rPr>
          <w:sz w:val="20"/>
          <w:szCs w:val="20"/>
          <w:color w:val="auto"/>
        </w:rPr>
      </w:pPr>
    </w:p>
    <w:p>
      <w:pPr>
        <w:ind w:right="160" w:firstLine="713"/>
        <w:spacing w:after="0" w:line="238" w:lineRule="auto"/>
        <w:rPr>
          <w:sz w:val="20"/>
          <w:szCs w:val="20"/>
          <w:color w:val="auto"/>
        </w:rPr>
      </w:pPr>
      <w:r>
        <w:rPr>
          <w:rFonts w:ascii="Times New Roman" w:cs="Times New Roman" w:eastAsia="Times New Roman" w:hAnsi="Times New Roman"/>
          <w:sz w:val="22"/>
          <w:szCs w:val="22"/>
          <w:color w:val="auto"/>
        </w:rPr>
        <w:t>The descriptions of the securities contained in this prospectus, together with the applicable prospectus supplements, summarize the material terms and provisions of the various types of securities that we or the selling shareholder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spacing w:after="0" w:line="204" w:lineRule="exact"/>
        <w:rPr>
          <w:sz w:val="20"/>
          <w:szCs w:val="20"/>
          <w:color w:val="auto"/>
        </w:rPr>
      </w:pPr>
    </w:p>
    <w:p>
      <w:pPr>
        <w:ind w:right="60" w:firstLine="713"/>
        <w:spacing w:after="0" w:line="244" w:lineRule="auto"/>
        <w:rPr>
          <w:sz w:val="20"/>
          <w:szCs w:val="20"/>
          <w:color w:val="auto"/>
        </w:rPr>
      </w:pPr>
      <w:r>
        <w:rPr>
          <w:rFonts w:ascii="Times New Roman" w:cs="Times New Roman" w:eastAsia="Times New Roman" w:hAnsi="Times New Roman"/>
          <w:sz w:val="22"/>
          <w:szCs w:val="22"/>
          <w:color w:val="auto"/>
        </w:rPr>
        <w:t>We may sell from time to time, in one or more offerings, ordinary shares, warrants, debt securities and units comprising any combination of these securities. The total dollar amount of all securities that we may issue under this prospectus will not exceed $125,000,000.</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DESCRIPTION OF ORDINARY SHARES</w:t>
      </w:r>
    </w:p>
    <w:p>
      <w:pPr>
        <w:spacing w:after="0" w:line="237" w:lineRule="exact"/>
        <w:rPr>
          <w:sz w:val="20"/>
          <w:szCs w:val="20"/>
          <w:color w:val="auto"/>
        </w:rPr>
      </w:pPr>
    </w:p>
    <w:p>
      <w:pPr>
        <w:ind w:firstLine="713"/>
        <w:spacing w:after="0" w:line="282" w:lineRule="auto"/>
        <w:rPr>
          <w:sz w:val="20"/>
          <w:szCs w:val="20"/>
          <w:color w:val="auto"/>
        </w:rPr>
      </w:pPr>
      <w:r>
        <w:rPr>
          <w:rFonts w:ascii="Times New Roman" w:cs="Times New Roman" w:eastAsia="Times New Roman" w:hAnsi="Times New Roman"/>
          <w:sz w:val="21"/>
          <w:szCs w:val="21"/>
          <w:color w:val="auto"/>
        </w:rPr>
        <w:t>A description of our share capital and our ordinary shares can be found in Exhibit 2.1 to our Annual Report on Form 20-F for the year ended December 31, 2024, filed with the SEC on March 19, 2025, which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37" w:lineRule="exact"/>
        <w:rPr>
          <w:sz w:val="20"/>
          <w:szCs w:val="20"/>
          <w:color w:val="auto"/>
        </w:rPr>
      </w:pPr>
    </w:p>
    <w:p>
      <w:pPr>
        <w:ind w:right="100" w:firstLine="713"/>
        <w:spacing w:after="0" w:line="258" w:lineRule="auto"/>
        <w:rPr>
          <w:sz w:val="20"/>
          <w:szCs w:val="20"/>
          <w:color w:val="auto"/>
        </w:rPr>
      </w:pPr>
      <w:r>
        <w:rPr>
          <w:rFonts w:ascii="Times New Roman" w:cs="Times New Roman" w:eastAsia="Times New Roman" w:hAnsi="Times New Roman"/>
          <w:sz w:val="22"/>
          <w:szCs w:val="22"/>
          <w:color w:val="auto"/>
        </w:rPr>
        <w:t>Our authorized share capital consists of 20,000,000 ordinary shares, par value NIS 0.07 per share, of which 10,793,057 shares are issued and outstanding as of December 31, 2024.</w:t>
      </w:r>
    </w:p>
    <w:p>
      <w:pPr>
        <w:spacing w:after="0" w:line="185" w:lineRule="exact"/>
        <w:rPr>
          <w:sz w:val="20"/>
          <w:szCs w:val="20"/>
          <w:color w:val="auto"/>
        </w:rPr>
      </w:pPr>
    </w:p>
    <w:p>
      <w:pPr>
        <w:ind w:right="420" w:firstLine="713"/>
        <w:spacing w:after="0" w:line="258" w:lineRule="auto"/>
        <w:rPr>
          <w:sz w:val="20"/>
          <w:szCs w:val="20"/>
          <w:color w:val="auto"/>
        </w:rPr>
      </w:pPr>
      <w:r>
        <w:rPr>
          <w:rFonts w:ascii="Times New Roman" w:cs="Times New Roman" w:eastAsia="Times New Roman" w:hAnsi="Times New Roman"/>
          <w:sz w:val="22"/>
          <w:szCs w:val="22"/>
          <w:color w:val="auto"/>
        </w:rPr>
        <w:t>All of our outstanding ordinary shares are validly issued, fully paid and non-assessable. Our ordinary shares are not redeemable and do not provide any preemptive rights.</w:t>
      </w:r>
    </w:p>
    <w:p>
      <w:pPr>
        <w:spacing w:after="0" w:line="185" w:lineRule="exact"/>
        <w:rPr>
          <w:sz w:val="20"/>
          <w:szCs w:val="20"/>
          <w:color w:val="auto"/>
        </w:rPr>
      </w:pPr>
    </w:p>
    <w:p>
      <w:pPr>
        <w:ind w:right="60" w:firstLine="713"/>
        <w:spacing w:after="0" w:line="258" w:lineRule="auto"/>
        <w:rPr>
          <w:sz w:val="20"/>
          <w:szCs w:val="20"/>
          <w:color w:val="auto"/>
        </w:rPr>
      </w:pPr>
      <w:r>
        <w:rPr>
          <w:rFonts w:ascii="Times New Roman" w:cs="Times New Roman" w:eastAsia="Times New Roman" w:hAnsi="Times New Roman"/>
          <w:sz w:val="22"/>
          <w:szCs w:val="22"/>
          <w:color w:val="auto"/>
        </w:rPr>
        <w:t>Our registration number with the Israeli Registrar of Companies is 51-289494-0. Our purpose as set forth in our articles of association is to engage in any lawful activity.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37" w:lineRule="exact"/>
        <w:rPr>
          <w:sz w:val="20"/>
          <w:szCs w:val="20"/>
          <w:color w:val="auto"/>
        </w:rPr>
      </w:pPr>
    </w:p>
    <w:p>
      <w:pPr>
        <w:ind w:right="60" w:firstLine="713"/>
        <w:spacing w:after="0" w:line="258" w:lineRule="auto"/>
        <w:rPr>
          <w:sz w:val="20"/>
          <w:szCs w:val="20"/>
          <w:color w:val="auto"/>
        </w:rPr>
      </w:pPr>
      <w:r>
        <w:rPr>
          <w:rFonts w:ascii="Times New Roman" w:cs="Times New Roman" w:eastAsia="Times New Roman" w:hAnsi="Times New Roman"/>
          <w:sz w:val="22"/>
          <w:szCs w:val="22"/>
          <w:color w:val="auto"/>
        </w:rPr>
        <w:t>The transfer agent and registrar for our ordinary shares is Equiniti Trust Company, LLC (f/k/a American Stock Transfer &amp; Trust Company LLC), New York, New York.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Our ordinary shares are listed on the Nasdaq Global Market under the symbol “MDWD.”</w:t>
      </w:r>
    </w:p>
    <w:p>
      <w:pPr>
        <w:spacing w:after="0" w:line="2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sectPr>
      </w:pPr>
    </w:p>
    <w:bookmarkStart w:id="35" w:name="page36"/>
    <w:bookmarkEnd w:id="35"/>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DESCRIPTION OF WARRANTS</w:t>
      </w:r>
    </w:p>
    <w:p>
      <w:pPr>
        <w:spacing w:after="0" w:line="237" w:lineRule="exact"/>
        <w:rPr>
          <w:sz w:val="20"/>
          <w:szCs w:val="20"/>
          <w:color w:val="auto"/>
        </w:rPr>
      </w:pPr>
    </w:p>
    <w:p>
      <w:pPr>
        <w:ind w:firstLine="713"/>
        <w:spacing w:after="0" w:line="236" w:lineRule="auto"/>
        <w:rPr>
          <w:sz w:val="20"/>
          <w:szCs w:val="20"/>
          <w:color w:val="auto"/>
        </w:rPr>
      </w:pPr>
      <w:r>
        <w:rPr>
          <w:rFonts w:ascii="Times New Roman" w:cs="Times New Roman" w:eastAsia="Times New Roman" w:hAnsi="Times New Roman"/>
          <w:sz w:val="22"/>
          <w:szCs w:val="22"/>
          <w:color w:val="auto"/>
        </w:rPr>
        <w:t>We may issue warrants to purchase our ordinary shares and/or debt securities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208" w:lineRule="exact"/>
        <w:rPr>
          <w:sz w:val="20"/>
          <w:szCs w:val="20"/>
          <w:color w:val="auto"/>
        </w:rPr>
      </w:pPr>
    </w:p>
    <w:p>
      <w:pPr>
        <w:ind w:right="720" w:firstLine="713"/>
        <w:spacing w:after="0" w:line="258" w:lineRule="auto"/>
        <w:rPr>
          <w:sz w:val="20"/>
          <w:szCs w:val="20"/>
          <w:color w:val="auto"/>
        </w:rPr>
      </w:pPr>
      <w:r>
        <w:rPr>
          <w:rFonts w:ascii="Times New Roman" w:cs="Times New Roman" w:eastAsia="Times New Roman" w:hAnsi="Times New Roman"/>
          <w:sz w:val="22"/>
          <w:szCs w:val="22"/>
          <w:color w:val="auto"/>
        </w:rPr>
        <w:t>The applicable prospectus supplement will describe the following terms of any warrants in respect of which this prospectus is being delivered:</w:t>
      </w:r>
    </w:p>
    <w:p>
      <w:pPr>
        <w:spacing w:after="0" w:line="194" w:lineRule="exact"/>
        <w:rPr>
          <w:sz w:val="20"/>
          <w:szCs w:val="20"/>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7"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upon exercise of such warrants may be purchased;</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such warrants;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9" w:lineRule="exact"/>
        <w:rPr>
          <w:rFonts w:ascii="Times New Roman" w:cs="Times New Roman" w:eastAsia="Times New Roman" w:hAnsi="Times New Roman"/>
          <w:sz w:val="18"/>
          <w:szCs w:val="18"/>
          <w:color w:val="auto"/>
        </w:rPr>
      </w:pPr>
    </w:p>
    <w:p>
      <w:pPr>
        <w:ind w:left="240" w:right="220" w:hanging="111"/>
        <w:spacing w:after="0" w:line="250" w:lineRule="auto"/>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material Israeli and U.S. federal income tax considerations;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such warrants, if any; and</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DESCRIPTION OF DEBT SECURITIES</w:t>
      </w:r>
    </w:p>
    <w:p>
      <w:pPr>
        <w:spacing w:after="0" w:line="237" w:lineRule="exact"/>
        <w:rPr>
          <w:sz w:val="20"/>
          <w:szCs w:val="20"/>
          <w:color w:val="auto"/>
        </w:rPr>
      </w:pPr>
    </w:p>
    <w:p>
      <w:pPr>
        <w:ind w:right="20" w:firstLine="713"/>
        <w:spacing w:after="0" w:line="236" w:lineRule="auto"/>
        <w:rPr>
          <w:sz w:val="20"/>
          <w:szCs w:val="20"/>
          <w:color w:val="auto"/>
        </w:rPr>
      </w:pPr>
      <w:r>
        <w:rPr>
          <w:rFonts w:ascii="Times New Roman" w:cs="Times New Roman" w:eastAsia="Times New Roman" w:hAnsi="Times New Roman"/>
          <w:sz w:val="22"/>
          <w:szCs w:val="22"/>
          <w:color w:val="auto"/>
        </w:rPr>
        <w:t>We may issue debt securities together with other securities or separately, as described in the applicable prospectus supplement. The debt securities will be issued under an indenture between us and a trustee identified in the applicable prospectus supplement, the form of which is incorporated by reference as an exhibit to the registration statement of which this prospectus forms a part. The executed indenture will be incorporated by reference from a report of foreign private issuer on Form 6-K. We encourage you to read the indenture, because the indenture will govern your rights as a holder of debt securities. The indenture will be subject to and governed by the Trust Indenture Act of 1939, as amended.</w:t>
      </w:r>
    </w:p>
    <w:p>
      <w:pPr>
        <w:spacing w:after="0" w:line="208" w:lineRule="exact"/>
        <w:rPr>
          <w:sz w:val="20"/>
          <w:szCs w:val="20"/>
          <w:color w:val="auto"/>
        </w:rPr>
      </w:pPr>
    </w:p>
    <w:p>
      <w:pPr>
        <w:ind w:right="80" w:firstLine="638"/>
        <w:spacing w:after="0" w:line="244" w:lineRule="auto"/>
        <w:rPr>
          <w:sz w:val="20"/>
          <w:szCs w:val="20"/>
          <w:color w:val="auto"/>
        </w:rPr>
      </w:pPr>
      <w:r>
        <w:rPr>
          <w:rFonts w:ascii="Times New Roman" w:cs="Times New Roman" w:eastAsia="Times New Roman" w:hAnsi="Times New Roman"/>
          <w:sz w:val="22"/>
          <w:szCs w:val="22"/>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200"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2"/>
          <w:szCs w:val="22"/>
          <w:color w:val="auto"/>
        </w:rPr>
        <w:t>The applicable prospectus supplement, including any applicable pricing supplement, will set forth, to the extent required, the following terms of the debt securities in respect of which the prospectus supplement is delivered:</w:t>
      </w:r>
    </w:p>
    <w:p>
      <w:pPr>
        <w:spacing w:after="0" w:line="194" w:lineRule="exact"/>
        <w:rPr>
          <w:sz w:val="20"/>
          <w:szCs w:val="20"/>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27"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and/or, if applicable, the method used to determine such rate or rates;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$1,000, or any integral multiple of that number;</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9" w:lineRule="exact"/>
        <w:rPr>
          <w:rFonts w:ascii="Times New Roman" w:cs="Times New Roman" w:eastAsia="Times New Roman" w:hAnsi="Times New Roman"/>
          <w:sz w:val="18"/>
          <w:szCs w:val="18"/>
          <w:color w:val="auto"/>
        </w:rPr>
      </w:pPr>
    </w:p>
    <w:p>
      <w:pPr>
        <w:ind w:left="240" w:right="140" w:hanging="111"/>
        <w:spacing w:after="0" w:line="250" w:lineRule="auto"/>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9" w:lineRule="exact"/>
        <w:rPr>
          <w:rFonts w:ascii="Times New Roman" w:cs="Times New Roman" w:eastAsia="Times New Roman" w:hAnsi="Times New Roman"/>
          <w:sz w:val="18"/>
          <w:szCs w:val="18"/>
          <w:color w:val="auto"/>
        </w:rPr>
      </w:pPr>
    </w:p>
    <w:p>
      <w:pPr>
        <w:ind w:left="240" w:right="140" w:hanging="111"/>
        <w:spacing w:after="0" w:line="250" w:lineRule="auto"/>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ind w:left="240" w:right="260" w:hanging="111"/>
        <w:spacing w:after="0" w:line="265" w:lineRule="auto"/>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our ordinary shares;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75" w:right="399" w:bottom="1440" w:gutter="0" w:footer="0" w:header="0"/>
        </w:sectPr>
      </w:pPr>
    </w:p>
    <w:bookmarkStart w:id="37" w:name="page38"/>
    <w:bookmarkEnd w:id="37"/>
    <w:p>
      <w:pPr>
        <w:ind w:right="60" w:firstLine="713"/>
        <w:spacing w:after="0" w:line="239" w:lineRule="auto"/>
        <w:rPr>
          <w:sz w:val="20"/>
          <w:szCs w:val="20"/>
          <w:color w:val="auto"/>
        </w:rPr>
      </w:pPr>
      <w:r>
        <w:rPr>
          <w:rFonts w:ascii="Times New Roman" w:cs="Times New Roman" w:eastAsia="Times New Roman" w:hAnsi="Times New Roman"/>
          <w:sz w:val="22"/>
          <w:szCs w:val="22"/>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spacing w:after="0" w:line="207" w:lineRule="exact"/>
        <w:rPr>
          <w:sz w:val="20"/>
          <w:szCs w:val="20"/>
          <w:color w:val="auto"/>
        </w:rPr>
      </w:pPr>
    </w:p>
    <w:p>
      <w:pPr>
        <w:ind w:right="100" w:firstLine="713"/>
        <w:spacing w:after="0" w:line="244" w:lineRule="auto"/>
        <w:rPr>
          <w:sz w:val="20"/>
          <w:szCs w:val="20"/>
          <w:color w:val="auto"/>
        </w:rPr>
      </w:pPr>
      <w:r>
        <w:rPr>
          <w:rFonts w:ascii="Times New Roman" w:cs="Times New Roman" w:eastAsia="Times New Roman" w:hAnsi="Times New Roman"/>
          <w:sz w:val="22"/>
          <w:szCs w:val="22"/>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200" w:lineRule="exact"/>
        <w:rPr>
          <w:sz w:val="20"/>
          <w:szCs w:val="20"/>
          <w:color w:val="auto"/>
        </w:rPr>
      </w:pPr>
    </w:p>
    <w:p>
      <w:pPr>
        <w:ind w:firstLine="713"/>
        <w:spacing w:after="0" w:line="235" w:lineRule="auto"/>
        <w:rPr>
          <w:sz w:val="20"/>
          <w:szCs w:val="20"/>
          <w:color w:val="auto"/>
        </w:rPr>
      </w:pPr>
      <w:r>
        <w:rPr>
          <w:rFonts w:ascii="Times New Roman" w:cs="Times New Roman" w:eastAsia="Times New Roman" w:hAnsi="Times New Roman"/>
          <w:sz w:val="22"/>
          <w:szCs w:val="22"/>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DESCRIPTION OF UNITS</w:t>
      </w:r>
    </w:p>
    <w:p>
      <w:pPr>
        <w:spacing w:after="0" w:line="237" w:lineRule="exact"/>
        <w:rPr>
          <w:sz w:val="20"/>
          <w:szCs w:val="20"/>
          <w:color w:val="auto"/>
        </w:rPr>
      </w:pPr>
    </w:p>
    <w:p>
      <w:pPr>
        <w:ind w:right="140" w:firstLine="441"/>
        <w:spacing w:after="0" w:line="239" w:lineRule="auto"/>
        <w:rPr>
          <w:sz w:val="20"/>
          <w:szCs w:val="20"/>
          <w:color w:val="auto"/>
        </w:rPr>
      </w:pPr>
      <w:r>
        <w:rPr>
          <w:rFonts w:ascii="Times New Roman" w:cs="Times New Roman" w:eastAsia="Times New Roman" w:hAnsi="Times New Roman"/>
          <w:sz w:val="22"/>
          <w:szCs w:val="22"/>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207" w:lineRule="exact"/>
        <w:rPr>
          <w:sz w:val="20"/>
          <w:szCs w:val="20"/>
          <w:color w:val="auto"/>
        </w:rPr>
      </w:pPr>
    </w:p>
    <w:p>
      <w:pPr>
        <w:ind w:firstLine="441"/>
        <w:spacing w:after="0" w:line="235" w:lineRule="auto"/>
        <w:rPr>
          <w:sz w:val="20"/>
          <w:szCs w:val="20"/>
          <w:color w:val="auto"/>
        </w:rPr>
      </w:pPr>
      <w:r>
        <w:rPr>
          <w:rFonts w:ascii="Times New Roman" w:cs="Times New Roman" w:eastAsia="Times New Roman" w:hAnsi="Times New Roman"/>
          <w:sz w:val="22"/>
          <w:szCs w:val="22"/>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210" w:lineRule="exact"/>
        <w:rPr>
          <w:sz w:val="20"/>
          <w:szCs w:val="20"/>
          <w:color w:val="auto"/>
        </w:rPr>
      </w:pPr>
    </w:p>
    <w:p>
      <w:pPr>
        <w:ind w:right="800" w:firstLine="441"/>
        <w:spacing w:after="0" w:line="258" w:lineRule="auto"/>
        <w:rPr>
          <w:sz w:val="20"/>
          <w:szCs w:val="20"/>
          <w:color w:val="auto"/>
        </w:rPr>
      </w:pPr>
      <w:r>
        <w:rPr>
          <w:rFonts w:ascii="Times New Roman" w:cs="Times New Roman" w:eastAsia="Times New Roman" w:hAnsi="Times New Roman"/>
          <w:sz w:val="22"/>
          <w:szCs w:val="22"/>
          <w:color w:val="auto"/>
        </w:rPr>
        <w:t>If we offer any units, certain terms of that series of units will be described in the applicable prospectus supplement, including, without limitation, the following, as applicable:</w:t>
      </w:r>
    </w:p>
    <w:p>
      <w:pPr>
        <w:spacing w:after="0" w:line="194" w:lineRule="exact"/>
        <w:rPr>
          <w:sz w:val="20"/>
          <w:szCs w:val="20"/>
          <w:color w:val="auto"/>
        </w:rPr>
      </w:pPr>
    </w:p>
    <w:p>
      <w:pPr>
        <w:ind w:left="240" w:hanging="111"/>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237" w:lineRule="exact"/>
        <w:rPr>
          <w:sz w:val="20"/>
          <w:szCs w:val="20"/>
          <w:color w:val="auto"/>
        </w:rPr>
      </w:pPr>
    </w:p>
    <w:p>
      <w:pPr>
        <w:ind w:right="400" w:firstLine="713"/>
        <w:spacing w:after="0" w:line="258" w:lineRule="auto"/>
        <w:rPr>
          <w:sz w:val="20"/>
          <w:szCs w:val="20"/>
          <w:color w:val="auto"/>
        </w:rPr>
      </w:pPr>
      <w:r>
        <w:rPr>
          <w:rFonts w:ascii="Times New Roman" w:cs="Times New Roman" w:eastAsia="Times New Roman" w:hAnsi="Times New Roman"/>
          <w:sz w:val="22"/>
          <w:szCs w:val="22"/>
          <w:color w:val="auto"/>
        </w:rPr>
        <w:t>We and/or the selling shareholder may sell the securities included in this prospectus from time to time in one or more transactions, including without limitation:</w:t>
      </w:r>
    </w:p>
    <w:p>
      <w:pPr>
        <w:spacing w:after="0" w:line="194" w:lineRule="exact"/>
        <w:rPr>
          <w:sz w:val="20"/>
          <w:szCs w:val="20"/>
          <w:color w:val="auto"/>
        </w:rPr>
      </w:pPr>
    </w:p>
    <w:p>
      <w:pPr>
        <w:ind w:left="240" w:hanging="111"/>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7"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on a firm commitment or agency basis;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the securities;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or auction process, on a negotiated basis or otherwise;</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 or</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19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1"/>
          <w:szCs w:val="21"/>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98" w:lineRule="exact"/>
        <w:rPr>
          <w:sz w:val="20"/>
          <w:szCs w:val="20"/>
          <w:color w:val="auto"/>
        </w:rPr>
      </w:pPr>
    </w:p>
    <w:p>
      <w:pPr>
        <w:ind w:right="440" w:firstLine="713"/>
        <w:spacing w:after="0" w:line="258" w:lineRule="auto"/>
        <w:rPr>
          <w:sz w:val="20"/>
          <w:szCs w:val="20"/>
          <w:color w:val="auto"/>
        </w:rPr>
      </w:pPr>
      <w:r>
        <w:rPr>
          <w:rFonts w:ascii="Times New Roman" w:cs="Times New Roman" w:eastAsia="Times New Roman" w:hAnsi="Times New Roman"/>
          <w:sz w:val="22"/>
          <w:szCs w:val="22"/>
          <w:color w:val="auto"/>
        </w:rPr>
        <w:t>Any public offering price and any discounts or concessions allowed or re-allowed or paid to dealers may be changed from time to time.</w:t>
      </w:r>
    </w:p>
    <w:p>
      <w:pPr>
        <w:spacing w:after="0" w:line="185" w:lineRule="exact"/>
        <w:rPr>
          <w:sz w:val="20"/>
          <w:szCs w:val="20"/>
          <w:color w:val="auto"/>
        </w:rPr>
      </w:pPr>
    </w:p>
    <w:p>
      <w:pPr>
        <w:ind w:firstLine="713"/>
        <w:spacing w:after="0" w:line="234" w:lineRule="auto"/>
        <w:rPr>
          <w:sz w:val="20"/>
          <w:szCs w:val="20"/>
          <w:color w:val="auto"/>
        </w:rPr>
      </w:pPr>
      <w:r>
        <w:rPr>
          <w:rFonts w:ascii="Times New Roman" w:cs="Times New Roman" w:eastAsia="Times New Roman" w:hAnsi="Times New Roman"/>
          <w:sz w:val="22"/>
          <w:szCs w:val="22"/>
          <w:color w:val="auto"/>
        </w:rP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210" w:lineRule="exact"/>
        <w:rPr>
          <w:sz w:val="20"/>
          <w:szCs w:val="20"/>
          <w:color w:val="auto"/>
        </w:rPr>
      </w:pPr>
    </w:p>
    <w:p>
      <w:pPr>
        <w:ind w:right="200" w:firstLine="713"/>
        <w:spacing w:after="0" w:line="238" w:lineRule="auto"/>
        <w:rPr>
          <w:sz w:val="20"/>
          <w:szCs w:val="20"/>
          <w:color w:val="auto"/>
        </w:rPr>
      </w:pPr>
      <w:r>
        <w:rPr>
          <w:rFonts w:ascii="Times New Roman" w:cs="Times New Roman" w:eastAsia="Times New Roman" w:hAnsi="Times New Roman"/>
          <w:sz w:val="22"/>
          <w:szCs w:val="22"/>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0" w:name="page41"/>
    <w:bookmarkEnd w:id="40"/>
    <w:p>
      <w:pPr>
        <w:ind w:firstLine="713"/>
        <w:spacing w:after="0" w:line="234" w:lineRule="auto"/>
        <w:rPr>
          <w:sz w:val="20"/>
          <w:szCs w:val="20"/>
          <w:color w:val="auto"/>
        </w:rPr>
      </w:pPr>
      <w:r>
        <w:rPr>
          <w:rFonts w:ascii="Times New Roman" w:cs="Times New Roman" w:eastAsia="Times New Roman" w:hAnsi="Times New Roman"/>
          <w:sz w:val="22"/>
          <w:szCs w:val="22"/>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pacing w:after="0" w:line="210" w:lineRule="exact"/>
        <w:rPr>
          <w:sz w:val="20"/>
          <w:szCs w:val="20"/>
          <w:color w:val="auto"/>
        </w:rPr>
      </w:pPr>
    </w:p>
    <w:p>
      <w:pPr>
        <w:jc w:val="both"/>
        <w:ind w:right="140" w:firstLine="713"/>
        <w:spacing w:after="0" w:line="239" w:lineRule="auto"/>
        <w:rPr>
          <w:sz w:val="20"/>
          <w:szCs w:val="20"/>
          <w:color w:val="auto"/>
        </w:rPr>
      </w:pPr>
      <w:r>
        <w:rPr>
          <w:rFonts w:ascii="Times New Roman" w:cs="Times New Roman" w:eastAsia="Times New Roman" w:hAnsi="Times New Roman"/>
          <w:sz w:val="22"/>
          <w:szCs w:val="22"/>
          <w:color w:val="auto"/>
        </w:rPr>
        <w:t>If a dealer is used in the sale of the securities, we, the selling shareholder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207" w:lineRule="exact"/>
        <w:rPr>
          <w:sz w:val="20"/>
          <w:szCs w:val="20"/>
          <w:color w:val="auto"/>
        </w:rPr>
      </w:pPr>
    </w:p>
    <w:p>
      <w:pPr>
        <w:ind w:right="20" w:firstLine="713"/>
        <w:spacing w:after="0" w:line="239" w:lineRule="auto"/>
        <w:rPr>
          <w:sz w:val="20"/>
          <w:szCs w:val="20"/>
          <w:color w:val="auto"/>
        </w:rPr>
      </w:pPr>
      <w:r>
        <w:rPr>
          <w:rFonts w:ascii="Times New Roman" w:cs="Times New Roman" w:eastAsia="Times New Roman" w:hAnsi="Times New Roman"/>
          <w:sz w:val="22"/>
          <w:szCs w:val="22"/>
          <w:color w:val="auto"/>
        </w:rPr>
        <w:t>We and/or the selling shareholder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207" w:lineRule="exact"/>
        <w:rPr>
          <w:sz w:val="20"/>
          <w:szCs w:val="20"/>
          <w:color w:val="auto"/>
        </w:rPr>
      </w:pPr>
    </w:p>
    <w:p>
      <w:pPr>
        <w:ind w:right="80" w:firstLine="713"/>
        <w:spacing w:after="0" w:line="236" w:lineRule="auto"/>
        <w:rPr>
          <w:sz w:val="20"/>
          <w:szCs w:val="20"/>
          <w:color w:val="auto"/>
        </w:rPr>
      </w:pPr>
      <w:r>
        <w:rPr>
          <w:rFonts w:ascii="Times New Roman" w:cs="Times New Roman" w:eastAsia="Times New Roman" w:hAnsi="Times New Roman"/>
          <w:sz w:val="22"/>
          <w:szCs w:val="22"/>
          <w:color w:val="auto"/>
        </w:rPr>
        <w:t>Agents, underwriters and dealers may be entitled under agreements which may be entered into with us and/or the selling shareholder to indemnification by us against specified liabilities, including liabilities incurred under the Securities Act, or to contribution by us and/or the selling shareholder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spacing w:after="0" w:line="208" w:lineRule="exact"/>
        <w:rPr>
          <w:sz w:val="20"/>
          <w:szCs w:val="20"/>
          <w:color w:val="auto"/>
        </w:rPr>
      </w:pPr>
    </w:p>
    <w:p>
      <w:pPr>
        <w:ind w:right="60" w:firstLine="713"/>
        <w:spacing w:after="0" w:line="236" w:lineRule="auto"/>
        <w:rPr>
          <w:sz w:val="20"/>
          <w:szCs w:val="20"/>
          <w:color w:val="auto"/>
        </w:rPr>
      </w:pPr>
      <w:r>
        <w:rPr>
          <w:rFonts w:ascii="Times New Roman" w:cs="Times New Roman" w:eastAsia="Times New Roman" w:hAnsi="Times New Roman"/>
          <w:sz w:val="22"/>
          <w:szCs w:val="22"/>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208" w:lineRule="exact"/>
        <w:rPr>
          <w:sz w:val="20"/>
          <w:szCs w:val="20"/>
          <w:color w:val="auto"/>
        </w:rPr>
      </w:pPr>
    </w:p>
    <w:p>
      <w:pPr>
        <w:ind w:right="220" w:firstLine="713"/>
        <w:spacing w:after="0" w:line="255" w:lineRule="auto"/>
        <w:rPr>
          <w:sz w:val="20"/>
          <w:szCs w:val="20"/>
          <w:color w:val="auto"/>
        </w:rPr>
      </w:pPr>
      <w:r>
        <w:rPr>
          <w:rFonts w:ascii="Times New Roman" w:cs="Times New Roman" w:eastAsia="Times New Roman" w:hAnsi="Times New Roman"/>
          <w:sz w:val="21"/>
          <w:szCs w:val="21"/>
          <w:color w:val="auto"/>
        </w:rP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98" w:lineRule="exact"/>
        <w:rPr>
          <w:sz w:val="20"/>
          <w:szCs w:val="20"/>
          <w:color w:val="auto"/>
        </w:rPr>
      </w:pPr>
    </w:p>
    <w:p>
      <w:pPr>
        <w:ind w:left="240" w:hanging="111"/>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stabilizing bid means the placing of any bid, or the effecting of any purchase, for the purpose of pegging, fixing or maintaining the price of a security.</w:t>
      </w:r>
    </w:p>
    <w:p>
      <w:pPr>
        <w:spacing w:after="0" w:line="38" w:lineRule="exact"/>
        <w:rPr>
          <w:rFonts w:ascii="Times New Roman" w:cs="Times New Roman" w:eastAsia="Times New Roman" w:hAnsi="Times New Roman"/>
          <w:sz w:val="17"/>
          <w:szCs w:val="17"/>
          <w:color w:val="auto"/>
        </w:rPr>
      </w:pPr>
    </w:p>
    <w:p>
      <w:pPr>
        <w:ind w:left="240" w:right="40" w:hanging="111"/>
        <w:spacing w:after="0" w:line="250"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 covering transaction means the placing of any bid on behalf of the underwriting syndicate or the effecting of any purchase to reduce a short position created in connection with the offering.</w:t>
      </w:r>
    </w:p>
    <w:p>
      <w:pPr>
        <w:ind w:left="240" w:hanging="111"/>
        <w:spacing w:after="0" w:line="260"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72" w:lineRule="exact"/>
        <w:rPr>
          <w:sz w:val="20"/>
          <w:szCs w:val="20"/>
          <w:color w:val="auto"/>
        </w:rPr>
      </w:pPr>
    </w:p>
    <w:p>
      <w:pPr>
        <w:ind w:right="600" w:firstLine="713"/>
        <w:spacing w:after="0" w:line="258" w:lineRule="auto"/>
        <w:rPr>
          <w:sz w:val="20"/>
          <w:szCs w:val="20"/>
          <w:color w:val="auto"/>
        </w:rPr>
      </w:pPr>
      <w:r>
        <w:rPr>
          <w:rFonts w:ascii="Times New Roman" w:cs="Times New Roman" w:eastAsia="Times New Roman" w:hAnsi="Times New Roman"/>
          <w:sz w:val="22"/>
          <w:szCs w:val="22"/>
          <w:color w:val="auto"/>
        </w:rPr>
        <w:t>These transactions may be effected on an exchange, if the securities are listed on that exchange, or in the over-the-counter market or otherwise.</w:t>
      </w:r>
    </w:p>
    <w:p>
      <w:pPr>
        <w:spacing w:after="0" w:line="185" w:lineRule="exact"/>
        <w:rPr>
          <w:sz w:val="20"/>
          <w:szCs w:val="20"/>
          <w:color w:val="auto"/>
        </w:rPr>
      </w:pPr>
    </w:p>
    <w:p>
      <w:pPr>
        <w:ind w:right="100" w:firstLine="713"/>
        <w:spacing w:after="0" w:line="244" w:lineRule="auto"/>
        <w:rPr>
          <w:sz w:val="20"/>
          <w:szCs w:val="20"/>
          <w:color w:val="auto"/>
        </w:rPr>
      </w:pPr>
      <w:r>
        <w:rPr>
          <w:rFonts w:ascii="Times New Roman" w:cs="Times New Roman" w:eastAsia="Times New Roman" w:hAnsi="Times New Roman"/>
          <w:sz w:val="22"/>
          <w:szCs w:val="22"/>
          <w:color w:val="auto"/>
        </w:rP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41" w:name="page42"/>
    <w:bookmarkEnd w:id="41"/>
    <w:p>
      <w:pPr>
        <w:ind w:right="80" w:firstLine="713"/>
        <w:spacing w:after="0" w:line="238" w:lineRule="auto"/>
        <w:rPr>
          <w:sz w:val="20"/>
          <w:szCs w:val="20"/>
          <w:color w:val="auto"/>
        </w:rPr>
      </w:pPr>
      <w:r>
        <w:rPr>
          <w:rFonts w:ascii="Times New Roman" w:cs="Times New Roman" w:eastAsia="Times New Roman" w:hAnsi="Times New Roman"/>
          <w:sz w:val="22"/>
          <w:szCs w:val="22"/>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addition, ordinary shares may be issued upon conversion of or in exchange for debt securities or other securities.</w:t>
      </w:r>
    </w:p>
    <w:p>
      <w:pPr>
        <w:spacing w:after="0" w:line="233" w:lineRule="exact"/>
        <w:rPr>
          <w:sz w:val="20"/>
          <w:szCs w:val="20"/>
          <w:color w:val="auto"/>
        </w:rPr>
      </w:pPr>
    </w:p>
    <w:p>
      <w:pPr>
        <w:ind w:right="320" w:firstLine="713"/>
        <w:spacing w:after="0" w:line="239" w:lineRule="auto"/>
        <w:rPr>
          <w:sz w:val="20"/>
          <w:szCs w:val="20"/>
          <w:color w:val="auto"/>
        </w:rPr>
      </w:pPr>
      <w:r>
        <w:rPr>
          <w:rFonts w:ascii="Times New Roman" w:cs="Times New Roman" w:eastAsia="Times New Roman" w:hAnsi="Times New Roman"/>
          <w:sz w:val="22"/>
          <w:szCs w:val="22"/>
          <w:color w:val="auto"/>
        </w:rPr>
        <w:t>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spacing w:after="0" w:line="207"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22"/>
          <w:szCs w:val="22"/>
          <w:color w:val="auto"/>
        </w:rPr>
        <w:t>Any securities that qualify for sale pursuant to Rule 144 or Regulation S under the Securities Act may be sold under Rule 144 or Regulation S rather than pursuant to this prospectus.</w:t>
      </w:r>
    </w:p>
    <w:p>
      <w:pPr>
        <w:spacing w:after="0" w:line="185" w:lineRule="exact"/>
        <w:rPr>
          <w:sz w:val="20"/>
          <w:szCs w:val="20"/>
          <w:color w:val="auto"/>
        </w:rPr>
      </w:pPr>
    </w:p>
    <w:p>
      <w:pPr>
        <w:ind w:firstLine="713"/>
        <w:spacing w:after="0" w:line="233" w:lineRule="auto"/>
        <w:rPr>
          <w:sz w:val="20"/>
          <w:szCs w:val="20"/>
          <w:color w:val="auto"/>
        </w:rPr>
      </w:pPr>
      <w:r>
        <w:rPr>
          <w:rFonts w:ascii="Times New Roman" w:cs="Times New Roman" w:eastAsia="Times New Roman" w:hAnsi="Times New Roman"/>
          <w:sz w:val="22"/>
          <w:szCs w:val="22"/>
          <w:color w:val="auto"/>
        </w:rPr>
        <w:t>To the extent that we and/or the selling shareholder make sales to or through one or more underwriters or agents in at-the-market offerings, we and/or the selling shareholder will do so pursuant to the terms of a distribution agreement between us and/or the selling shareholder and the underwriters or agents. If we engage in at-the-market sales pursuant to a distribution agreement, we or the selling shareholder will sell our ordinary shares to or through one or more underwriters or agents, which may act on an agency basis or on a principal basis. During the term of any such agreement, we and/or the selling shareholder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and/or the selling shareholder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spacing w:after="0" w:line="212" w:lineRule="exact"/>
        <w:rPr>
          <w:sz w:val="20"/>
          <w:szCs w:val="20"/>
          <w:color w:val="auto"/>
        </w:rPr>
      </w:pPr>
    </w:p>
    <w:p>
      <w:pPr>
        <w:ind w:right="120" w:firstLine="713"/>
        <w:spacing w:after="0" w:line="239" w:lineRule="auto"/>
        <w:rPr>
          <w:sz w:val="20"/>
          <w:szCs w:val="20"/>
          <w:color w:val="auto"/>
        </w:rPr>
      </w:pPr>
      <w:r>
        <w:rPr>
          <w:rFonts w:ascii="Times New Roman" w:cs="Times New Roman" w:eastAsia="Times New Roman" w:hAnsi="Times New Roman"/>
          <w:sz w:val="22"/>
          <w:szCs w:val="22"/>
          <w:color w:val="auto"/>
        </w:rPr>
        <w:t>Offers to purchase the securities offered by this prospectus may be solicited, and sales of the securities may be made, by us and/or the selling shareholder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spacing w:after="0" w:line="207" w:lineRule="exact"/>
        <w:rPr>
          <w:sz w:val="20"/>
          <w:szCs w:val="20"/>
          <w:color w:val="auto"/>
        </w:rPr>
      </w:pPr>
    </w:p>
    <w:p>
      <w:pPr>
        <w:ind w:right="120" w:firstLine="713"/>
        <w:spacing w:after="0" w:line="236" w:lineRule="auto"/>
        <w:rPr>
          <w:sz w:val="20"/>
          <w:szCs w:val="20"/>
          <w:color w:val="auto"/>
        </w:rPr>
      </w:pPr>
      <w:r>
        <w:rPr>
          <w:rFonts w:ascii="Times New Roman" w:cs="Times New Roman" w:eastAsia="Times New Roman" w:hAnsi="Times New Roman"/>
          <w:sz w:val="22"/>
          <w:szCs w:val="22"/>
          <w:color w:val="auto"/>
        </w:rPr>
        <w:t>In connection with offerings made through underwriters or agents, we and/or the selling shareholder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and/or the selling shareholder under these arrangements to close out any related open borrowings of securities.</w:t>
      </w:r>
    </w:p>
    <w:p>
      <w:pPr>
        <w:spacing w:after="0" w:line="208" w:lineRule="exact"/>
        <w:rPr>
          <w:sz w:val="20"/>
          <w:szCs w:val="20"/>
          <w:color w:val="auto"/>
        </w:rPr>
      </w:pPr>
    </w:p>
    <w:p>
      <w:pPr>
        <w:ind w:right="20" w:firstLine="713"/>
        <w:spacing w:after="0" w:line="234" w:lineRule="auto"/>
        <w:rPr>
          <w:sz w:val="20"/>
          <w:szCs w:val="20"/>
          <w:color w:val="auto"/>
        </w:rPr>
      </w:pPr>
      <w:r>
        <w:rPr>
          <w:rFonts w:ascii="Times New Roman" w:cs="Times New Roman" w:eastAsia="Times New Roman" w:hAnsi="Times New Roman"/>
          <w:sz w:val="22"/>
          <w:szCs w:val="22"/>
          <w:color w:val="auto"/>
        </w:rPr>
        <w:t>We and/or the selling shareholder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and/or the selling shareholder or borrowed from us, the selling shareholder or others to settle those sales or to close out any related open borrowings of shares, and may use securities received from us and/or the selling shareholder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spacing w:after="0" w:line="210" w:lineRule="exact"/>
        <w:rPr>
          <w:sz w:val="20"/>
          <w:szCs w:val="20"/>
          <w:color w:val="auto"/>
        </w:rPr>
      </w:pPr>
    </w:p>
    <w:p>
      <w:pPr>
        <w:ind w:right="40" w:firstLine="713"/>
        <w:spacing w:after="0" w:line="239" w:lineRule="auto"/>
        <w:rPr>
          <w:sz w:val="20"/>
          <w:szCs w:val="20"/>
          <w:color w:val="auto"/>
        </w:rPr>
      </w:pPr>
      <w:r>
        <w:rPr>
          <w:rFonts w:ascii="Times New Roman" w:cs="Times New Roman" w:eastAsia="Times New Roman" w:hAnsi="Times New Roman"/>
          <w:sz w:val="22"/>
          <w:szCs w:val="22"/>
          <w:color w:val="auto"/>
        </w:rPr>
        <w:t>We and/or the selling shareholder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42" w:name="page43"/>
    <w:bookmarkEnd w:id="42"/>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EXPENSES ASSOCIATED WITH THE REGISTRATION</w:t>
      </w:r>
    </w:p>
    <w:p>
      <w:pPr>
        <w:spacing w:after="0" w:line="237" w:lineRule="exact"/>
        <w:rPr>
          <w:sz w:val="20"/>
          <w:szCs w:val="20"/>
          <w:color w:val="auto"/>
        </w:rPr>
      </w:pPr>
    </w:p>
    <w:p>
      <w:pPr>
        <w:ind w:right="140" w:firstLine="713"/>
        <w:spacing w:after="0" w:line="239" w:lineRule="auto"/>
        <w:rPr>
          <w:sz w:val="20"/>
          <w:szCs w:val="20"/>
          <w:color w:val="auto"/>
        </w:rPr>
      </w:pPr>
      <w:r>
        <w:rPr>
          <w:rFonts w:ascii="Times New Roman" w:cs="Times New Roman" w:eastAsia="Times New Roman" w:hAnsi="Times New Roman"/>
          <w:sz w:val="22"/>
          <w:szCs w:val="22"/>
          <w:color w:val="auto"/>
        </w:rP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sectPr>
          <w:pgSz w:w="11900" w:h="16838" w:orient="portrait"/>
          <w:cols w:equalWidth="0" w:num="1">
            <w:col w:w="11140"/>
          </w:cols>
          <w:pgMar w:left="320" w:top="675" w:right="4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Accountants’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fees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67" w:hanging="367"/>
        <w:spacing w:after="0"/>
        <w:tabs>
          <w:tab w:leader="none" w:pos="3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6,239.92</w:t>
      </w:r>
    </w:p>
    <w:p>
      <w:pPr>
        <w:spacing w:after="0" w:line="27" w:lineRule="exact"/>
        <w:rPr>
          <w:sz w:val="20"/>
          <w:szCs w:val="20"/>
          <w:color w:val="auto"/>
        </w:rPr>
      </w:pPr>
    </w:p>
    <w:p>
      <w:pPr>
        <w:ind w:left="907" w:hanging="907"/>
        <w:spacing w:after="0"/>
        <w:tabs>
          <w:tab w:leader="none" w:pos="9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343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ind w:left="907" w:hanging="907"/>
        <w:spacing w:after="0"/>
        <w:tabs>
          <w:tab w:leader="none" w:pos="9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54" w:lineRule="exact"/>
        <w:rPr>
          <w:sz w:val="20"/>
          <w:szCs w:val="20"/>
          <w:color w:val="auto"/>
        </w:rPr>
      </w:pPr>
    </w:p>
    <w:p>
      <w:pPr>
        <w:sectPr>
          <w:pgSz w:w="11900" w:h="16838" w:orient="portrait"/>
          <w:cols w:equalWidth="0" w:num="2">
            <w:col w:w="9413" w:space="720"/>
            <w:col w:w="1007"/>
          </w:cols>
          <w:pgMar w:left="320" w:top="675" w:right="439" w:bottom="1440" w:gutter="0" w:footer="0" w:header="0"/>
          <w:type w:val="continuous"/>
        </w:sectPr>
      </w:pPr>
    </w:p>
    <w:p>
      <w:pPr>
        <w:spacing w:after="0" w:line="43" w:lineRule="exact"/>
        <w:rPr>
          <w:sz w:val="20"/>
          <w:szCs w:val="20"/>
          <w:color w:val="auto"/>
        </w:rPr>
      </w:pPr>
    </w:p>
    <w:p>
      <w:pPr>
        <w:ind w:right="200" w:firstLine="8"/>
        <w:spacing w:after="0" w:line="258" w:lineRule="auto"/>
        <w:tabs>
          <w:tab w:leader="none" w:pos="16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fees are calculated based on the securities offered and the number of issuances and accordingly cannot be estimated at this time.</w:t>
      </w:r>
    </w:p>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type w:val="continuous"/>
        </w:sectPr>
      </w:pPr>
    </w:p>
    <w:bookmarkStart w:id="43" w:name="page44"/>
    <w:bookmarkEnd w:id="43"/>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237" w:lineRule="exact"/>
        <w:rPr>
          <w:sz w:val="20"/>
          <w:szCs w:val="20"/>
          <w:color w:val="auto"/>
        </w:rPr>
      </w:pPr>
    </w:p>
    <w:p>
      <w:pPr>
        <w:ind w:firstLine="713"/>
        <w:spacing w:after="0" w:line="244" w:lineRule="auto"/>
        <w:rPr>
          <w:sz w:val="20"/>
          <w:szCs w:val="20"/>
          <w:color w:val="auto"/>
        </w:rPr>
      </w:pPr>
      <w:r>
        <w:rPr>
          <w:rFonts w:ascii="Times New Roman" w:cs="Times New Roman" w:eastAsia="Times New Roman" w:hAnsi="Times New Roman"/>
          <w:sz w:val="22"/>
          <w:szCs w:val="22"/>
          <w:color w:val="auto"/>
        </w:rPr>
        <w:t>Certain legal matters with respect to Israeli law and with respect to the validity of the offered securities under Israeli law will be passed upon for us by Meitar | Law Offices, Ramat Gan, Israel. Certain legal matters with respect to U.S. law will be passed upon for us by Latham &amp; Watkins LLP, New York, New York.</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237" w:lineRule="exact"/>
        <w:rPr>
          <w:sz w:val="20"/>
          <w:szCs w:val="20"/>
          <w:color w:val="auto"/>
        </w:rPr>
      </w:pPr>
    </w:p>
    <w:p>
      <w:pPr>
        <w:ind w:right="60" w:firstLine="714"/>
        <w:spacing w:after="0" w:line="239" w:lineRule="auto"/>
        <w:rPr>
          <w:sz w:val="20"/>
          <w:szCs w:val="20"/>
          <w:color w:val="auto"/>
        </w:rPr>
      </w:pPr>
      <w:r>
        <w:rPr>
          <w:rFonts w:ascii="Times New Roman" w:cs="Times New Roman" w:eastAsia="Times New Roman" w:hAnsi="Times New Roman"/>
          <w:sz w:val="22"/>
          <w:szCs w:val="22"/>
          <w:color w:val="auto"/>
        </w:rPr>
        <w:t>The consolidated financial statements of MediWound Ltd. as of December 31, 2024 and 2023, and for each of the years in the three-year period ended December 31, 2024,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237" w:lineRule="exact"/>
        <w:rPr>
          <w:sz w:val="20"/>
          <w:szCs w:val="20"/>
          <w:color w:val="auto"/>
        </w:rPr>
      </w:pPr>
    </w:p>
    <w:p>
      <w:pPr>
        <w:ind w:right="60" w:firstLine="713"/>
        <w:spacing w:after="0" w:line="247" w:lineRule="auto"/>
        <w:rPr>
          <w:sz w:val="20"/>
          <w:szCs w:val="20"/>
          <w:color w:val="auto"/>
        </w:rPr>
      </w:pPr>
      <w:r>
        <w:rPr>
          <w:rFonts w:ascii="Times New Roman" w:cs="Times New Roman" w:eastAsia="Times New Roman" w:hAnsi="Times New Roman"/>
          <w:sz w:val="21"/>
          <w:szCs w:val="21"/>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its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99" w:lineRule="exact"/>
        <w:rPr>
          <w:sz w:val="20"/>
          <w:szCs w:val="20"/>
          <w:color w:val="auto"/>
        </w:rPr>
      </w:pPr>
    </w:p>
    <w:p>
      <w:pPr>
        <w:ind w:firstLine="713"/>
        <w:spacing w:after="0" w:line="246" w:lineRule="auto"/>
        <w:rPr>
          <w:sz w:val="20"/>
          <w:szCs w:val="20"/>
          <w:color w:val="auto"/>
        </w:rPr>
      </w:pPr>
      <w:r>
        <w:rPr>
          <w:rFonts w:ascii="Times New Roman" w:cs="Times New Roman" w:eastAsia="Times New Roman" w:hAnsi="Times New Roman"/>
          <w:sz w:val="21"/>
          <w:szCs w:val="21"/>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filing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 and proxy statements for our general meetings of shareholders.</w:t>
      </w:r>
    </w:p>
    <w:p>
      <w:pPr>
        <w:spacing w:after="0" w:line="202" w:lineRule="exact"/>
        <w:rPr>
          <w:sz w:val="20"/>
          <w:szCs w:val="20"/>
          <w:color w:val="auto"/>
        </w:rPr>
      </w:pPr>
    </w:p>
    <w:p>
      <w:pPr>
        <w:ind w:right="40" w:firstLine="713"/>
        <w:spacing w:after="0" w:line="244" w:lineRule="auto"/>
        <w:rPr>
          <w:sz w:val="20"/>
          <w:szCs w:val="20"/>
          <w:color w:val="auto"/>
        </w:rPr>
      </w:pPr>
      <w:r>
        <w:rPr>
          <w:rFonts w:ascii="Times New Roman" w:cs="Times New Roman" w:eastAsia="Times New Roman" w:hAnsi="Times New Roman"/>
          <w:sz w:val="22"/>
          <w:szCs w:val="22"/>
          <w:color w:val="auto"/>
        </w:rPr>
        <w:t xml:space="preserve">We file or furnish reports, proxy statements and other information with or to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22"/>
          <w:szCs w:val="22"/>
          <w:i w:val="1"/>
          <w:iCs w:val="1"/>
          <w:color w:val="auto"/>
        </w:rPr>
        <w:t>http://www.sec.gov</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right="300" w:firstLine="713"/>
        <w:spacing w:after="0" w:line="246" w:lineRule="auto"/>
        <w:rPr>
          <w:sz w:val="20"/>
          <w:szCs w:val="20"/>
          <w:color w:val="auto"/>
        </w:rPr>
      </w:pPr>
      <w:r>
        <w:rPr>
          <w:rFonts w:ascii="Times New Roman" w:cs="Times New Roman" w:eastAsia="Times New Roman" w:hAnsi="Times New Roman"/>
          <w:sz w:val="22"/>
          <w:szCs w:val="22"/>
          <w:color w:val="auto"/>
        </w:rPr>
        <w:t xml:space="preserve">We maintain a corporate website at </w:t>
      </w:r>
      <w:r>
        <w:rPr>
          <w:rFonts w:ascii="Times New Roman" w:cs="Times New Roman" w:eastAsia="Times New Roman" w:hAnsi="Times New Roman"/>
          <w:sz w:val="22"/>
          <w:szCs w:val="22"/>
          <w:i w:val="1"/>
          <w:iCs w:val="1"/>
          <w:color w:val="auto"/>
        </w:rPr>
        <w:t>www.MediWound.com.</w:t>
      </w:r>
      <w:r>
        <w:rPr>
          <w:rFonts w:ascii="Times New Roman" w:cs="Times New Roman" w:eastAsia="Times New Roman" w:hAnsi="Times New Roman"/>
          <w:sz w:val="22"/>
          <w:szCs w:val="22"/>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INCORPORATION OF CERTAIN DOCUMENTS BY REFERENCE</w:t>
      </w:r>
    </w:p>
    <w:p>
      <w:pPr>
        <w:spacing w:after="0" w:line="237" w:lineRule="exact"/>
        <w:rPr>
          <w:sz w:val="20"/>
          <w:szCs w:val="20"/>
          <w:color w:val="auto"/>
        </w:rPr>
      </w:pPr>
    </w:p>
    <w:p>
      <w:pPr>
        <w:ind w:right="60" w:firstLine="713"/>
        <w:spacing w:after="0" w:line="234" w:lineRule="auto"/>
        <w:rPr>
          <w:sz w:val="20"/>
          <w:szCs w:val="20"/>
          <w:color w:val="auto"/>
        </w:rPr>
      </w:pPr>
      <w:r>
        <w:rPr>
          <w:rFonts w:ascii="Times New Roman" w:cs="Times New Roman" w:eastAsia="Times New Roman" w:hAnsi="Times New Roman"/>
          <w:sz w:val="22"/>
          <w:szCs w:val="22"/>
          <w:color w:val="auto"/>
        </w:rPr>
        <w:t>The SEC allows us to “incorporate by reference” into this prospectus the information in documents we file with it. This means that we can disclose important information to you by referring you to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206" w:lineRule="exact"/>
        <w:rPr>
          <w:sz w:val="20"/>
          <w:szCs w:val="20"/>
          <w:color w:val="auto"/>
        </w:rPr>
      </w:pPr>
    </w:p>
    <w:p>
      <w:pPr>
        <w:ind w:firstLine="713"/>
        <w:spacing w:after="0" w:line="239" w:lineRule="auto"/>
        <w:rPr>
          <w:sz w:val="20"/>
          <w:szCs w:val="20"/>
          <w:color w:val="auto"/>
        </w:rPr>
      </w:pPr>
      <w:r>
        <w:rPr>
          <w:rFonts w:ascii="Times New Roman" w:cs="Times New Roman" w:eastAsia="Times New Roman" w:hAnsi="Times New Roman"/>
          <w:sz w:val="22"/>
          <w:szCs w:val="22"/>
          <w:color w:val="auto"/>
        </w:rPr>
        <w:t>We incorporate by reference into this prospectus documents listed below and any future filings made with the SEC under Sections 13(a), 13(c), 14 or 15(d) of the Exchange Act, and, to the extent specifically designated therein, reports of foreign private issuer on Form 6-K we furnish to the SEC on or after the date on which this registration statement is first filed with the SEC and until the termination or completion of that offering under this prospectus:</w:t>
      </w:r>
    </w:p>
    <w:p>
      <w:pPr>
        <w:spacing w:after="0" w:line="216" w:lineRule="exact"/>
        <w:rPr>
          <w:sz w:val="20"/>
          <w:szCs w:val="20"/>
          <w:color w:val="auto"/>
        </w:rPr>
      </w:pPr>
    </w:p>
    <w:p>
      <w:pPr>
        <w:ind w:left="240" w:hanging="111"/>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19, 2025; and</w:t>
      </w:r>
    </w:p>
    <w:p>
      <w:pPr>
        <w:spacing w:after="0" w:line="225" w:lineRule="exact"/>
        <w:rPr>
          <w:rFonts w:ascii="Times New Roman" w:cs="Times New Roman" w:eastAsia="Times New Roman" w:hAnsi="Times New Roman"/>
          <w:sz w:val="18"/>
          <w:szCs w:val="18"/>
          <w:color w:val="auto"/>
        </w:rPr>
      </w:pPr>
    </w:p>
    <w:p>
      <w:pPr>
        <w:ind w:left="240" w:right="80" w:hanging="111"/>
        <w:spacing w:after="0" w:line="266"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under the heading “Item 1. Description of Registrant’s Securities to be Registered” in our registration statement on </w:t>
      </w:r>
      <w:hyperlink r:id="rId72">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SEC on March 12, 2014, as updated by the description of our ordinary shares that served as </w:t>
      </w:r>
      <w:hyperlink r:id="rId45">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2024 filed with the SEC on March 19, 2025.</w:t>
      </w:r>
    </w:p>
    <w:p>
      <w:pPr>
        <w:spacing w:after="0" w:line="167" w:lineRule="exact"/>
        <w:rPr>
          <w:rFonts w:ascii="Times New Roman" w:cs="Times New Roman" w:eastAsia="Times New Roman" w:hAnsi="Times New Roman"/>
          <w:sz w:val="18"/>
          <w:szCs w:val="18"/>
          <w:color w:val="auto"/>
        </w:rPr>
      </w:pPr>
    </w:p>
    <w:p>
      <w:pPr>
        <w:ind w:right="120" w:firstLine="714"/>
        <w:spacing w:after="0" w:line="238" w:lineRule="auto"/>
        <w:rPr>
          <w:sz w:val="20"/>
          <w:szCs w:val="20"/>
          <w:color w:val="auto"/>
        </w:rPr>
      </w:pPr>
      <w:r>
        <w:rPr>
          <w:rFonts w:ascii="Times New Roman" w:cs="Times New Roman" w:eastAsia="Times New Roman" w:hAnsi="Times New Roman"/>
          <w:sz w:val="22"/>
          <w:szCs w:val="22"/>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4" w:lineRule="exact"/>
        <w:rPr>
          <w:rFonts w:ascii="Times New Roman" w:cs="Times New Roman" w:eastAsia="Times New Roman" w:hAnsi="Times New Roman"/>
          <w:sz w:val="18"/>
          <w:szCs w:val="18"/>
          <w:color w:val="auto"/>
        </w:rPr>
      </w:pPr>
    </w:p>
    <w:p>
      <w:pPr>
        <w:ind w:right="20" w:firstLine="713"/>
        <w:spacing w:after="0" w:line="238" w:lineRule="auto"/>
        <w:rPr>
          <w:sz w:val="20"/>
          <w:szCs w:val="20"/>
          <w:color w:val="auto"/>
        </w:rPr>
      </w:pPr>
      <w:r>
        <w:rPr>
          <w:rFonts w:ascii="Times New Roman" w:cs="Times New Roman" w:eastAsia="Times New Roman" w:hAnsi="Times New Roman"/>
          <w:sz w:val="22"/>
          <w:szCs w:val="22"/>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204" w:lineRule="exact"/>
        <w:rPr>
          <w:rFonts w:ascii="Times New Roman" w:cs="Times New Roman" w:eastAsia="Times New Roman" w:hAnsi="Times New Roman"/>
          <w:sz w:val="18"/>
          <w:szCs w:val="18"/>
          <w:color w:val="auto"/>
        </w:rPr>
      </w:pPr>
    </w:p>
    <w:p>
      <w:pPr>
        <w:ind w:left="4880"/>
        <w:spacing w:after="0"/>
        <w:rPr>
          <w:sz w:val="20"/>
          <w:szCs w:val="20"/>
          <w:color w:val="auto"/>
        </w:rPr>
      </w:pPr>
      <w:r>
        <w:rPr>
          <w:rFonts w:ascii="Times New Roman" w:cs="Times New Roman" w:eastAsia="Times New Roman" w:hAnsi="Times New Roman"/>
          <w:sz w:val="22"/>
          <w:szCs w:val="22"/>
          <w:color w:val="auto"/>
        </w:rPr>
        <w:t>MediWound Ltd.</w:t>
      </w:r>
    </w:p>
    <w:p>
      <w:pPr>
        <w:spacing w:after="0" w:line="4" w:lineRule="exact"/>
        <w:rPr>
          <w:rFonts w:ascii="Times New Roman" w:cs="Times New Roman" w:eastAsia="Times New Roman" w:hAnsi="Times New Roman"/>
          <w:sz w:val="18"/>
          <w:szCs w:val="18"/>
          <w:color w:val="auto"/>
        </w:rPr>
      </w:pPr>
    </w:p>
    <w:p>
      <w:pPr>
        <w:ind w:left="4700"/>
        <w:spacing w:after="0"/>
        <w:rPr>
          <w:sz w:val="20"/>
          <w:szCs w:val="20"/>
          <w:color w:val="auto"/>
        </w:rPr>
      </w:pPr>
      <w:r>
        <w:rPr>
          <w:rFonts w:ascii="Times New Roman" w:cs="Times New Roman" w:eastAsia="Times New Roman" w:hAnsi="Times New Roman"/>
          <w:sz w:val="22"/>
          <w:szCs w:val="22"/>
          <w:color w:val="auto"/>
        </w:rPr>
        <w:t>c/o LifeSci Advisors</w:t>
      </w:r>
    </w:p>
    <w:p>
      <w:pPr>
        <w:jc w:val="center"/>
        <w:ind w:right="-79"/>
        <w:spacing w:after="0" w:line="230" w:lineRule="auto"/>
        <w:rPr>
          <w:sz w:val="20"/>
          <w:szCs w:val="20"/>
          <w:color w:val="auto"/>
        </w:rPr>
      </w:pPr>
      <w:r>
        <w:rPr>
          <w:rFonts w:ascii="Times New Roman" w:cs="Times New Roman" w:eastAsia="Times New Roman" w:hAnsi="Times New Roman"/>
          <w:sz w:val="22"/>
          <w:szCs w:val="22"/>
          <w:color w:val="auto"/>
        </w:rPr>
        <w:t>Attn: Daniel Ferry, Managing Director</w:t>
      </w:r>
    </w:p>
    <w:p>
      <w:pPr>
        <w:spacing w:after="0" w:line="1"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daniel@lifesciadvisors.com</w:t>
      </w:r>
    </w:p>
    <w:p>
      <w:pPr>
        <w:spacing w:after="0" w:line="218"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75" w:right="39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ENFORCEABILITY OF CIVIL LIABILITIES</w:t>
      </w:r>
    </w:p>
    <w:p>
      <w:pPr>
        <w:spacing w:after="0" w:line="237" w:lineRule="exact"/>
        <w:rPr>
          <w:sz w:val="20"/>
          <w:szCs w:val="20"/>
          <w:color w:val="auto"/>
        </w:rPr>
      </w:pPr>
    </w:p>
    <w:p>
      <w:pPr>
        <w:ind w:firstLine="713"/>
        <w:spacing w:after="0" w:line="238" w:lineRule="auto"/>
        <w:rPr>
          <w:sz w:val="20"/>
          <w:szCs w:val="20"/>
          <w:color w:val="auto"/>
        </w:rPr>
      </w:pPr>
      <w:r>
        <w:rPr>
          <w:rFonts w:ascii="Times New Roman" w:cs="Times New Roman" w:eastAsia="Times New Roman" w:hAnsi="Times New Roman"/>
          <w:sz w:val="22"/>
          <w:szCs w:val="22"/>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204" w:lineRule="exact"/>
        <w:rPr>
          <w:sz w:val="20"/>
          <w:szCs w:val="20"/>
          <w:color w:val="auto"/>
        </w:rPr>
      </w:pPr>
    </w:p>
    <w:p>
      <w:pPr>
        <w:ind w:right="20" w:firstLine="713"/>
        <w:spacing w:after="0" w:line="236" w:lineRule="auto"/>
        <w:rPr>
          <w:sz w:val="20"/>
          <w:szCs w:val="20"/>
          <w:color w:val="auto"/>
        </w:rPr>
      </w:pPr>
      <w:r>
        <w:rPr>
          <w:rFonts w:ascii="Times New Roman" w:cs="Times New Roman" w:eastAsia="Times New Roman" w:hAnsi="Times New Roman"/>
          <w:sz w:val="22"/>
          <w:szCs w:val="22"/>
          <w:color w:val="auto"/>
        </w:rPr>
        <w:t>We have been informed by our legal counsel in Israel, Meitar |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208" w:lineRule="exact"/>
        <w:rPr>
          <w:sz w:val="20"/>
          <w:szCs w:val="20"/>
          <w:color w:val="auto"/>
        </w:rPr>
      </w:pPr>
    </w:p>
    <w:p>
      <w:pPr>
        <w:ind w:firstLine="713"/>
        <w:spacing w:after="0" w:line="236" w:lineRule="auto"/>
        <w:rPr>
          <w:sz w:val="20"/>
          <w:szCs w:val="20"/>
          <w:color w:val="auto"/>
        </w:rPr>
      </w:pPr>
      <w:r>
        <w:rPr>
          <w:rFonts w:ascii="Times New Roman" w:cs="Times New Roman" w:eastAsia="Times New Roman" w:hAnsi="Times New Roman"/>
          <w:sz w:val="22"/>
          <w:szCs w:val="22"/>
          <w:color w:val="auto"/>
        </w:rPr>
        <w:t>We have irrevocably appointed Puglisi &amp; Associates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218" w:lineRule="exact"/>
        <w:rPr>
          <w:sz w:val="20"/>
          <w:szCs w:val="20"/>
          <w:color w:val="auto"/>
        </w:rPr>
      </w:pPr>
    </w:p>
    <w:p>
      <w:pPr>
        <w:ind w:left="240" w:hanging="111"/>
        <w:spacing w:after="0" w:line="261"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obtained after due process before a court of competent jurisdiction, according to the laws of the state in which the judgment is given and the rules of private international law prevailing in Israel;</w:t>
      </w:r>
    </w:p>
    <w:p>
      <w:pPr>
        <w:ind w:left="240" w:hanging="111"/>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law of the foreign state in which the judgment is rendered allows for the enforcement of judgments of Israeli courts;</w:t>
      </w:r>
    </w:p>
    <w:p>
      <w:pPr>
        <w:spacing w:after="0" w:line="9"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be heard and to present his or her evidence;</w:t>
      </w:r>
    </w:p>
    <w:p>
      <w:pPr>
        <w:spacing w:after="0" w:line="9" w:lineRule="exact"/>
        <w:rPr>
          <w:rFonts w:ascii="Times New Roman" w:cs="Times New Roman" w:eastAsia="Times New Roman" w:hAnsi="Times New Roman"/>
          <w:sz w:val="18"/>
          <w:szCs w:val="18"/>
          <w:color w:val="auto"/>
        </w:rPr>
      </w:pPr>
    </w:p>
    <w:p>
      <w:pPr>
        <w:ind w:left="240" w:right="340" w:hanging="111"/>
        <w:spacing w:after="0" w:line="250"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contrary to public policy of Israel, and the enforcement of the civil liabilities set forth in the judgment is not likely to impair the security or sovereignty of Israel;</w:t>
      </w:r>
    </w:p>
    <w:p>
      <w:pPr>
        <w:ind w:left="240" w:hanging="111"/>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 in the same matter between the same parties;</w:t>
      </w:r>
    </w:p>
    <w:p>
      <w:pPr>
        <w:spacing w:after="0" w:line="9" w:lineRule="exact"/>
        <w:rPr>
          <w:rFonts w:ascii="Times New Roman" w:cs="Times New Roman" w:eastAsia="Times New Roman" w:hAnsi="Times New Roman"/>
          <w:sz w:val="18"/>
          <w:szCs w:val="18"/>
          <w:color w:val="auto"/>
        </w:rPr>
      </w:pPr>
    </w:p>
    <w:p>
      <w:pPr>
        <w:ind w:left="240" w:right="120" w:hanging="111"/>
        <w:spacing w:after="0" w:line="250" w:lineRule="auto"/>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was not pending in any Israeli court at the time at which the lawsuit was instituted in the foreign court; and</w:t>
      </w:r>
    </w:p>
    <w:p>
      <w:pPr>
        <w:ind w:left="240" w:hanging="111"/>
        <w:spacing w:after="0"/>
        <w:tabs>
          <w:tab w:leader="none" w:pos="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according to the laws of Israel and according to the law of the foreign state in which the relief was granted.</w:t>
      </w:r>
    </w:p>
    <w:p>
      <w:pPr>
        <w:spacing w:after="0" w:line="198" w:lineRule="exact"/>
        <w:rPr>
          <w:sz w:val="20"/>
          <w:szCs w:val="20"/>
          <w:color w:val="auto"/>
        </w:rPr>
      </w:pPr>
    </w:p>
    <w:p>
      <w:pPr>
        <w:ind w:right="40" w:firstLine="713"/>
        <w:spacing w:after="0" w:line="235" w:lineRule="auto"/>
        <w:rPr>
          <w:sz w:val="20"/>
          <w:szCs w:val="20"/>
          <w:color w:val="auto"/>
        </w:rPr>
      </w:pPr>
      <w:r>
        <w:rPr>
          <w:rFonts w:ascii="Times New Roman" w:cs="Times New Roman" w:eastAsia="Times New Roman" w:hAnsi="Times New Roman"/>
          <w:sz w:val="22"/>
          <w:szCs w:val="22"/>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47" w:name="page48"/>
    <w:bookmarkEnd w:id="47"/>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1,200,000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688340</wp:posOffset>
            </wp:positionV>
            <wp:extent cx="1285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156845</wp:posOffset>
            </wp:positionV>
            <wp:extent cx="1482725" cy="3600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4827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191135</wp:posOffset>
            </wp:positionV>
            <wp:extent cx="1285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248920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lvl w:ilvl="1">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Roman"/>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jpe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jpe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39" Type="http://schemas.openxmlformats.org/officeDocument/2006/relationships/hyperlink" Target="https://www.sec.gov/ix?doc=/Archives/edgar/data/1593984/000117891326000749/zk2634458.htm" TargetMode="External"/><Relationship Id="rId40" Type="http://schemas.openxmlformats.org/officeDocument/2006/relationships/hyperlink" Target="https://www.sec.gov/Archives/edgar/data/1593984/000117891326001859/zk2634988.htm" TargetMode="External"/><Relationship Id="rId41" Type="http://schemas.openxmlformats.org/officeDocument/2006/relationships/hyperlink" Target="https://www.sec.gov/Archives/edgar/data/1593984/000117891326001984/zk2635023.htm" TargetMode="External"/><Relationship Id="rId42" Type="http://schemas.openxmlformats.org/officeDocument/2006/relationships/hyperlink" Target="https://www.sec.gov/Archives/edgar/data/1593984/000117891326002421/zk2635217.htm" TargetMode="External"/><Relationship Id="rId43" Type="http://schemas.openxmlformats.org/officeDocument/2006/relationships/hyperlink" Target="https://www.sec.gov/Archives/edgar/data/1593984/000117891326002932/0001178913-26-002932-index.htm" TargetMode="External"/><Relationship Id="rId44" Type="http://schemas.openxmlformats.org/officeDocument/2006/relationships/hyperlink" Target="https://www.sec.gov/ix?doc=/Archives/edgar/data/1593984/000117891326004097/zk2635881.htm" TargetMode="External"/><Relationship Id="rId45" Type="http://schemas.openxmlformats.org/officeDocument/2006/relationships/hyperlink" Target="https://www.sec.gov/Archives/edgar/data/1593984/000117891324001020/exhibit_2-1.htm" TargetMode="External"/><Relationship Id="rId71" Type="http://schemas.openxmlformats.org/officeDocument/2006/relationships/hyperlink" Target="https://www.sec.gov/ix?doc=/Archives/edgar/data/1593984/000117891325000934/zk2532841.htm" TargetMode="External"/><Relationship Id="rId72" Type="http://schemas.openxmlformats.org/officeDocument/2006/relationships/hyperlink" Target="https://www.sec.gov/Archives/edgar/data/1593984/000110465914018720/a14-7847_1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2026-11-05T10:24:40Z</dcterms:created>
  <dcterms:modified xsi:type="dcterms:W3CDTF">2026-11-05T10:24:40Z</dcterms:modified>
</cp:coreProperties>
</file>