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5533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553325"/>
                    </a:xfrm>
                    <a:prstGeom prst="rect">
                      <a:avLst/>
                    </a:prstGeom>
                    <a:noFill/>
                  </pic:spPr>
                </pic:pic>
              </a:graphicData>
            </a:graphic>
          </wp:anchor>
        </w:drawing>
      </w:r>
    </w:p>
    <w:p>
      <w:pPr>
        <w:sectPr>
          <w:pgSz w:w="11900" w:h="1685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Driver Vickie Rae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MediWound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MDWD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5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2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MEDIWOUND LTD.</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42 HAYARKON STREET</w:t>
            </w:r>
          </w:p>
        </w:tc>
      </w:tr>
      <w:tr>
        <w:trPr>
          <w:trHeight w:val="177"/>
        </w:trPr>
        <w:tc>
          <w:tcPr>
            <w:tcW w:w="8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YAVNE</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L3</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8122745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50"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jc w:val="right"/>
              <w:ind w:right="529"/>
              <w:spacing w:after="0"/>
              <w:rPr>
                <w:sz w:val="20"/>
                <w:szCs w:val="20"/>
                <w:color w:val="auto"/>
              </w:rPr>
            </w:pPr>
            <w:r>
              <w:rPr>
                <w:rFonts w:ascii="Times New Roman" w:cs="Times New Roman" w:eastAsia="Times New Roman" w:hAnsi="Times New Roman"/>
                <w:sz w:val="20"/>
                <w:szCs w:val="20"/>
                <w:color w:val="0000FF"/>
              </w:rPr>
              <w:t>1,910</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609"/>
              <w:spacing w:after="0"/>
              <w:rPr>
                <w:sz w:val="20"/>
                <w:szCs w:val="20"/>
                <w:color w:val="auto"/>
              </w:rPr>
            </w:pPr>
            <w:r>
              <w:rPr>
                <w:rFonts w:ascii="Times New Roman" w:cs="Times New Roman" w:eastAsia="Times New Roman" w:hAnsi="Times New Roman"/>
                <w:sz w:val="20"/>
                <w:szCs w:val="20"/>
                <w:color w:val="0000FF"/>
              </w:rPr>
              <w:t>750</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0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06/29/2021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06/29/2030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8"/>
              </w:rPr>
              <w:t>14,285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12.25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06/15/2022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06/15/2031</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30"/>
              <w:spacing w:after="0"/>
              <w:rPr>
                <w:sz w:val="20"/>
                <w:szCs w:val="20"/>
                <w:color w:val="auto"/>
              </w:rPr>
            </w:pPr>
            <w:r>
              <w:rPr>
                <w:rFonts w:ascii="Times New Roman" w:cs="Times New Roman" w:eastAsia="Times New Roman" w:hAnsi="Times New Roman"/>
                <w:sz w:val="20"/>
                <w:szCs w:val="20"/>
                <w:color w:val="0000FF"/>
                <w:w w:val="97"/>
              </w:rPr>
              <w:t>1,607</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37.52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05/16/2023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05/16/2032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30"/>
              <w:spacing w:after="0"/>
              <w:rPr>
                <w:sz w:val="20"/>
                <w:szCs w:val="20"/>
                <w:color w:val="auto"/>
              </w:rPr>
            </w:pPr>
            <w:r>
              <w:rPr>
                <w:rFonts w:ascii="Times New Roman" w:cs="Times New Roman" w:eastAsia="Times New Roman" w:hAnsi="Times New Roman"/>
                <w:sz w:val="20"/>
                <w:szCs w:val="20"/>
                <w:color w:val="0000FF"/>
                <w:w w:val="97"/>
              </w:rPr>
              <w:t>5,357</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14.42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05/31/2024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05/30/2033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30"/>
              <w:spacing w:after="0"/>
              <w:rPr>
                <w:sz w:val="20"/>
                <w:szCs w:val="20"/>
                <w:color w:val="auto"/>
              </w:rPr>
            </w:pPr>
            <w:r>
              <w:rPr>
                <w:rFonts w:ascii="Times New Roman" w:cs="Times New Roman" w:eastAsia="Times New Roman" w:hAnsi="Times New Roman"/>
                <w:sz w:val="20"/>
                <w:szCs w:val="20"/>
                <w:color w:val="0000FF"/>
                <w:w w:val="97"/>
              </w:rPr>
              <w:t>5,900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11.885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02/26/2025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02/26/2034</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30"/>
              <w:spacing w:after="0"/>
              <w:rPr>
                <w:sz w:val="20"/>
                <w:szCs w:val="20"/>
                <w:color w:val="auto"/>
              </w:rPr>
            </w:pPr>
            <w:r>
              <w:rPr>
                <w:rFonts w:ascii="Times New Roman" w:cs="Times New Roman" w:eastAsia="Times New Roman" w:hAnsi="Times New Roman"/>
                <w:sz w:val="20"/>
                <w:szCs w:val="20"/>
                <w:color w:val="0000FF"/>
                <w:w w:val="97"/>
              </w:rPr>
              <w:t>7,542</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12.729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02/11/2026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02/11/2035</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30"/>
              <w:spacing w:after="0"/>
              <w:rPr>
                <w:sz w:val="20"/>
                <w:szCs w:val="20"/>
                <w:color w:val="auto"/>
              </w:rPr>
            </w:pPr>
            <w:r>
              <w:rPr>
                <w:rFonts w:ascii="Times New Roman" w:cs="Times New Roman" w:eastAsia="Times New Roman" w:hAnsi="Times New Roman"/>
                <w:sz w:val="20"/>
                <w:szCs w:val="20"/>
                <w:color w:val="0000FF"/>
                <w:w w:val="97"/>
              </w:rPr>
              <w:t>5,600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18.54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03/04/2036</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30"/>
              <w:spacing w:after="0"/>
              <w:rPr>
                <w:sz w:val="20"/>
                <w:szCs w:val="20"/>
                <w:color w:val="auto"/>
              </w:rPr>
            </w:pPr>
            <w:r>
              <w:rPr>
                <w:rFonts w:ascii="Times New Roman" w:cs="Times New Roman" w:eastAsia="Times New Roman" w:hAnsi="Times New Roman"/>
                <w:sz w:val="20"/>
                <w:szCs w:val="20"/>
                <w:color w:val="0000FF"/>
                <w:w w:val="97"/>
              </w:rPr>
              <w:t>6,250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7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March 4, 2026 and vest 100% on the one-year anniversary of the grant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on March 4, 2026 and vest 100% on the one-year anniversary of the grant date.</w:t>
      </w:r>
    </w:p>
    <w:p>
      <w:pPr>
        <w:ind w:left="6580"/>
        <w:spacing w:after="0" w:line="183" w:lineRule="auto"/>
        <w:rPr>
          <w:sz w:val="20"/>
          <w:szCs w:val="20"/>
          <w:color w:val="auto"/>
        </w:rPr>
      </w:pPr>
      <w:r>
        <w:rPr>
          <w:rFonts w:ascii="Times New Roman" w:cs="Times New Roman" w:eastAsia="Times New Roman" w:hAnsi="Times New Roman"/>
          <w:sz w:val="20"/>
          <w:szCs w:val="20"/>
          <w:color w:val="0000FF"/>
        </w:rPr>
        <w:t xml:space="preserve">/s/ Yaron Meyer, attorney-  </w:t>
      </w:r>
      <w:r>
        <w:rPr>
          <w:rFonts w:ascii="Times New Roman" w:cs="Times New Roman" w:eastAsia="Times New Roman" w:hAnsi="Times New Roman"/>
          <w:sz w:val="39"/>
          <w:szCs w:val="39"/>
          <w:color w:val="0000FF"/>
          <w:vertAlign w:val="subscript"/>
        </w:rPr>
        <w:t>03/25/2026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036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32321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3215"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5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412750</wp:posOffset>
            </wp:positionV>
            <wp:extent cx="6946900" cy="47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47625"/>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479425</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Yaron Meyer, Executive Vice President, General Counsel &amp; Corporate Secretary of MediWound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160" w:firstLine="720"/>
        <w:spacing w:after="0" w:line="258" w:lineRule="auto"/>
        <w:tabs>
          <w:tab w:leader="none" w:pos="12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jc w:val="both"/>
        <w:ind w:right="120" w:firstLine="720"/>
        <w:spacing w:after="0" w:line="266" w:lineRule="auto"/>
        <w:tabs>
          <w:tab w:leader="none" w:pos="12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80" w:firstLine="720"/>
        <w:spacing w:after="0" w:line="261" w:lineRule="auto"/>
        <w:tabs>
          <w:tab w:leader="none" w:pos="121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25th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5480"/>
        <w:spacing w:after="0"/>
        <w:tabs>
          <w:tab w:leader="none" w:pos="6020" w:val="left"/>
        </w:tabs>
        <w:rPr>
          <w:sz w:val="20"/>
          <w:szCs w:val="20"/>
          <w:color w:val="auto"/>
        </w:rPr>
      </w:pPr>
      <w:r>
        <w:rPr>
          <w:rFonts w:ascii="Times New Roman" w:cs="Times New Roman" w:eastAsia="Times New Roman" w:hAnsi="Times New Roman"/>
          <w:sz w:val="20"/>
          <w:szCs w:val="20"/>
          <w:color w:val="auto"/>
        </w:rPr>
        <w:t>By:</w:t>
        <w:tab/>
        <w:t>/s/ Vickie R. Driver</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Vickie R. Driver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-145415</wp:posOffset>
            </wp:positionV>
            <wp:extent cx="173418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3418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wp:posOffset>
            </wp:positionV>
            <wp:extent cx="69469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19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244475</wp:posOffset>
            </wp:positionV>
            <wp:extent cx="6946900" cy="47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47625"/>
                    </a:xfrm>
                    <a:prstGeom prst="rect">
                      <a:avLst/>
                    </a:prstGeom>
                    <a:noFill/>
                  </pic:spPr>
                </pic:pic>
              </a:graphicData>
            </a:graphic>
          </wp:anchor>
        </w:drawing>
      </w:r>
    </w:p>
    <w:sectPr>
      <w:pgSz w:w="11900" w:h="16838" w:orient="portrait"/>
      <w:cols w:equalWidth="0" w:num="1">
        <w:col w:w="10940"/>
      </w:cols>
      <w:pgMar w:left="480" w:top="8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2123640" TargetMode="External"/><Relationship Id="rId11" Type="http://schemas.openxmlformats.org/officeDocument/2006/relationships/hyperlink" Target="http://www.sec.gov/cgi-bin/browse-edgar?action=getcompany&amp;CIK=0001593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2026-03-25T06:21:36Z</dcterms:created>
  <dcterms:modified xsi:type="dcterms:W3CDTF">2026-03-25T06:21:36Z</dcterms:modified>
</cp:coreProperties>
</file>