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5881.htm"/>
      <w:bookmarkStart w:id="1" w:name="kszk2635881"/>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SECURITIES AND EXCHANGE COMMISSION</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Washington, D.C. 20549</w:t>
        <w:br/>
        <w:t>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REPORT OF FOREIGN PRIVATE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Pursuant to Rule 13a-16 or 15d-16 of the</w:t>
        <w:br/>
        <w:t>Securities Exchange Act of 1934</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Commission File Number: 001-36349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32"/>
          <w:u w:val="single"/>
        </w:rPr>
        <w:t>MediWound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42 Hayarkon Street</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Yavne, 8122745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Results of Operations and Financial Condition - Quarter and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On August 13, 2026, MediWound Ltd. (“</w:t>
      </w:r>
      <w:r>
        <w:rPr>
          <w:rStyle w:val="StrongEmphasis"/>
          <w:rFonts w:ascii="Times New Roman;Times;serif" w:hAnsi="Times New Roman;Times;serif"/>
          <w:b w:val="false"/>
          <w:i w:val="false"/>
          <w:caps w:val="false"/>
          <w:smallCaps w:val="false"/>
          <w:sz w:val="20"/>
        </w:rPr>
        <w:t>MediWound</w:t>
      </w:r>
      <w:r>
        <w:rPr>
          <w:rFonts w:ascii="Times New Roman;Times;serif" w:hAnsi="Times New Roman;Times;serif"/>
          <w:b w:val="false"/>
          <w:i w:val="false"/>
          <w:caps w:val="false"/>
          <w:smallCaps w:val="false"/>
          <w:sz w:val="20"/>
        </w:rPr>
        <w:t>” or the “</w:t>
      </w:r>
      <w:r>
        <w:rPr>
          <w:rStyle w:val="StrongEmphasis"/>
          <w:rFonts w:ascii="Times New Roman;Times;serif" w:hAnsi="Times New Roman;Times;serif"/>
          <w:b w:val="false"/>
          <w:i w:val="false"/>
          <w:caps w:val="false"/>
          <w:smallCaps w:val="false"/>
          <w:sz w:val="20"/>
        </w:rPr>
        <w:t>Company</w:t>
      </w:r>
      <w:r>
        <w:rPr>
          <w:rFonts w:ascii="Times New Roman;Times;serif" w:hAnsi="Times New Roman;Times;serif"/>
          <w:b w:val="false"/>
          <w:i w:val="false"/>
          <w:caps w:val="false"/>
          <w:smallCaps w:val="false"/>
          <w:sz w:val="20"/>
        </w:rPr>
        <w:t>”) issued a press release entitled “MediWound Reports Second Quarter 2026 Financial Results and Provides Company Updates,” in which MediWound reported its results of operations. A copy of that press release is attached to this Report of Foreign Private Issuer on Form 6-K (this “</w:t>
      </w:r>
      <w:r>
        <w:rPr>
          <w:rStyle w:val="StrongEmphasis"/>
          <w:rFonts w:ascii="Times New Roman;Times;serif" w:hAnsi="Times New Roman;Times;serif"/>
          <w:b w:val="false"/>
          <w:i w:val="false"/>
          <w:caps w:val="false"/>
          <w:smallCaps w:val="false"/>
          <w:sz w:val="20"/>
        </w:rPr>
        <w:t>Form 6-K</w:t>
      </w:r>
      <w:r>
        <w:rPr>
          <w:rFonts w:ascii="Times New Roman;Times;serif" w:hAnsi="Times New Roman;Times;serif"/>
          <w:b w:val="false"/>
          <w:i w:val="false"/>
          <w:caps w:val="false"/>
          <w:smallCaps w:val="false"/>
          <w:sz w:val="20"/>
        </w:rPr>
        <w:t>”) as Exhibit 99.1.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as Exhibit 99.2 to this Form 6-K, is MediWound's financial statements, as of, and for the quarter and six months ended on,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as Exhibit 101 are the financial statements of MediWound as of, and for the quarter and six months ended on, June 30, 2026, formatted in XBRL (eXtensible Business Reporting Language), consisting of the sub-exhibits listed in the exhibit table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1100"/>
        <w:gridCol w:w="60"/>
        <w:gridCol w:w="7040"/>
      </w:tblGrid>
      <w:tr>
        <w:trPr/>
        <w:tc>
          <w:tcPr>
            <w:tcW w:w="1100" w:type="dxa"/>
            <w:tcBorders/>
            <w:vAlign w:val="center"/>
          </w:tcPr>
          <w:p>
            <w:pPr>
              <w:pStyle w:val="TableContents"/>
              <w:bidi w:val="0"/>
              <w:spacing w:before="0" w:after="283"/>
              <w:jc w:val="both"/>
              <w:rPr/>
            </w:pPr>
            <w:r>
              <w:rPr>
                <w:rStyle w:val="StrongEmphasis"/>
                <w:rFonts w:ascii="Times New Roman;Times;serif" w:hAnsi="Times New Roman;Times;serif"/>
                <w:sz w:val="20"/>
              </w:rPr>
              <w:t>Exhibit</w:t>
            </w:r>
          </w:p>
        </w:tc>
        <w:tc>
          <w:tcPr>
            <w:tcW w:w="60" w:type="dxa"/>
            <w:tcBorders/>
            <w:vAlign w:val="center"/>
          </w:tcPr>
          <w:p>
            <w:pPr>
              <w:pStyle w:val="TableContents"/>
              <w:bidi w:val="0"/>
              <w:spacing w:before="0" w:after="283"/>
              <w:jc w:val="both"/>
              <w:rPr/>
            </w:pPr>
            <w:r>
              <w:rPr/>
              <w:t> </w:t>
            </w:r>
          </w:p>
        </w:tc>
        <w:tc>
          <w:tcPr>
            <w:tcW w:w="7040" w:type="dxa"/>
            <w:tcBorders/>
            <w:vAlign w:val="center"/>
          </w:tcPr>
          <w:p>
            <w:pPr>
              <w:pStyle w:val="TableContents"/>
              <w:bidi w:val="0"/>
              <w:spacing w:before="0" w:after="283"/>
              <w:jc w:val="both"/>
              <w:rPr/>
            </w:pPr>
            <w:r>
              <w:rPr/>
              <w:t> </w:t>
            </w:r>
          </w:p>
        </w:tc>
      </w:tr>
      <w:tr>
        <w:trPr/>
        <w:tc>
          <w:tcPr>
            <w:tcW w:w="1100" w:type="dxa"/>
            <w:tcBorders>
              <w:bottom w:val="single" w:sz="12" w:space="0" w:color="000000"/>
            </w:tcBorders>
            <w:tcMar>
              <w:bottom w:w="28" w:type="dxa"/>
            </w:tcMar>
            <w:vAlign w:val="center"/>
          </w:tcPr>
          <w:p>
            <w:pPr>
              <w:pStyle w:val="TableContents"/>
              <w:bidi w:val="0"/>
              <w:spacing w:before="0" w:after="283"/>
              <w:jc w:val="both"/>
              <w:rPr/>
            </w:pPr>
            <w:r>
              <w:rPr>
                <w:rStyle w:val="StrongEmphasis"/>
                <w:rFonts w:ascii="Times New Roman;Times;serif" w:hAnsi="Times New Roman;Times;serif"/>
                <w:sz w:val="20"/>
              </w:rPr>
              <w:t>Number</w:t>
            </w:r>
          </w:p>
        </w:tc>
        <w:tc>
          <w:tcPr>
            <w:tcW w:w="60" w:type="dxa"/>
            <w:tcBorders/>
            <w:vAlign w:val="center"/>
          </w:tcPr>
          <w:p>
            <w:pPr>
              <w:pStyle w:val="TableContents"/>
              <w:bidi w:val="0"/>
              <w:spacing w:before="0" w:after="283"/>
              <w:jc w:val="both"/>
              <w:rPr/>
            </w:pPr>
            <w:r>
              <w:rPr/>
              <w:t> </w:t>
            </w:r>
          </w:p>
        </w:tc>
        <w:tc>
          <w:tcPr>
            <w:tcW w:w="7040" w:type="dxa"/>
            <w:tcBorders>
              <w:bottom w:val="single" w:sz="12" w:space="0" w:color="000000"/>
            </w:tcBorders>
            <w:tcMar>
              <w:bottom w:w="28" w:type="dxa"/>
            </w:tcMar>
            <w:vAlign w:val="center"/>
          </w:tcPr>
          <w:p>
            <w:pPr>
              <w:pStyle w:val="TableContents"/>
              <w:bidi w:val="0"/>
              <w:spacing w:before="0" w:after="283"/>
              <w:jc w:val="both"/>
              <w:rPr/>
            </w:pPr>
            <w:r>
              <w:rPr>
                <w:rStyle w:val="StrongEmphasis"/>
                <w:rFonts w:ascii="Times New Roman;Times;serif" w:hAnsi="Times New Roman;Times;serif"/>
                <w:sz w:val="20"/>
              </w:rPr>
              <w:t>Exhibit Description</w:t>
            </w:r>
          </w:p>
        </w:tc>
      </w:tr>
      <w:tr>
        <w:trPr/>
        <w:tc>
          <w:tcPr>
            <w:tcW w:w="1100" w:type="dxa"/>
            <w:tcBorders/>
            <w:shd w:fill="CCEEFF" w:val="clear"/>
            <w:vAlign w:val="center"/>
          </w:tcPr>
          <w:p>
            <w:pPr>
              <w:pStyle w:val="TableContents"/>
              <w:bidi w:val="0"/>
              <w:spacing w:before="0" w:after="283"/>
              <w:jc w:val="both"/>
              <w:rPr/>
            </w:pPr>
            <w:hyperlink w:anchor="exhibit_99-1.htm">
              <w:r>
                <w:rPr>
                  <w:rStyle w:val="InternetLink"/>
                  <w:rFonts w:ascii="Times New Roman;Times;serif" w:hAnsi="Times New Roman;Times;serif"/>
                  <w:sz w:val="20"/>
                </w:rPr>
                <w:t>99.1</w:t>
              </w:r>
            </w:hyperlink>
          </w:p>
        </w:tc>
        <w:tc>
          <w:tcPr>
            <w:tcW w:w="60" w:type="dxa"/>
            <w:tcBorders/>
            <w:shd w:fill="CCEEFF" w:val="clear"/>
            <w:vAlign w:val="center"/>
          </w:tcPr>
          <w:p>
            <w:pPr>
              <w:pStyle w:val="TableContents"/>
              <w:bidi w:val="0"/>
              <w:spacing w:before="0" w:after="283"/>
              <w:jc w:val="both"/>
              <w:rPr/>
            </w:pPr>
            <w:r>
              <w:rPr/>
              <w:t> </w:t>
            </w:r>
          </w:p>
        </w:tc>
        <w:tc>
          <w:tcPr>
            <w:tcW w:w="7040" w:type="dxa"/>
            <w:tcBorders/>
            <w:shd w:fill="CCEEFF" w:val="clear"/>
            <w:vAlign w:val="center"/>
          </w:tcPr>
          <w:p>
            <w:pPr>
              <w:pStyle w:val="TableContents"/>
              <w:bidi w:val="0"/>
              <w:spacing w:before="0" w:after="283"/>
              <w:jc w:val="both"/>
              <w:rPr/>
            </w:pPr>
            <w:hyperlink w:anchor="exhibit_99-1.htm">
              <w:r>
                <w:rPr>
                  <w:rStyle w:val="InternetLink"/>
                  <w:rFonts w:ascii="Times New Roman;Times;serif" w:hAnsi="Times New Roman;Times;serif"/>
                  <w:sz w:val="20"/>
                </w:rPr>
                <w:t>Press release reporting MediWound’s financial results</w:t>
              </w:r>
            </w:hyperlink>
          </w:p>
        </w:tc>
      </w:tr>
      <w:tr>
        <w:trPr/>
        <w:tc>
          <w:tcPr>
            <w:tcW w:w="1100" w:type="dxa"/>
            <w:tcBorders/>
            <w:shd w:fill="FFFFFF" w:val="clear"/>
            <w:vAlign w:val="center"/>
          </w:tcPr>
          <w:p>
            <w:pPr>
              <w:pStyle w:val="TableContents"/>
              <w:bidi w:val="0"/>
              <w:spacing w:before="0" w:after="283"/>
              <w:jc w:val="both"/>
              <w:rPr/>
            </w:pPr>
            <w:hyperlink w:anchor="exhibit_99-2.htm">
              <w:r>
                <w:rPr>
                  <w:rStyle w:val="InternetLink"/>
                  <w:rFonts w:ascii="Times New Roman;Times;serif" w:hAnsi="Times New Roman;Times;serif"/>
                  <w:sz w:val="20"/>
                </w:rPr>
                <w:t>99.2</w:t>
              </w:r>
            </w:hyperlink>
          </w:p>
        </w:tc>
        <w:tc>
          <w:tcPr>
            <w:tcW w:w="60" w:type="dxa"/>
            <w:tcBorders/>
            <w:shd w:fill="FFFFFF" w:val="clear"/>
            <w:vAlign w:val="center"/>
          </w:tcPr>
          <w:p>
            <w:pPr>
              <w:pStyle w:val="TableContents"/>
              <w:bidi w:val="0"/>
              <w:spacing w:before="0" w:after="283"/>
              <w:jc w:val="both"/>
              <w:rPr/>
            </w:pPr>
            <w:r>
              <w:rPr/>
              <w:t> </w:t>
            </w:r>
          </w:p>
        </w:tc>
        <w:tc>
          <w:tcPr>
            <w:tcW w:w="7040" w:type="dxa"/>
            <w:tcBorders/>
            <w:shd w:fill="FFFFFF" w:val="clear"/>
            <w:vAlign w:val="center"/>
          </w:tcPr>
          <w:p>
            <w:pPr>
              <w:pStyle w:val="TableContents"/>
              <w:bidi w:val="0"/>
              <w:spacing w:before="0" w:after="283"/>
              <w:jc w:val="both"/>
              <w:rPr/>
            </w:pPr>
            <w:hyperlink w:anchor="exhibit_99-2.htm">
              <w:r>
                <w:rPr>
                  <w:rStyle w:val="InternetLink"/>
                  <w:rFonts w:ascii="Times New Roman;Times;serif" w:hAnsi="Times New Roman;Times;serif"/>
                  <w:sz w:val="20"/>
                </w:rPr>
                <w:t>Financial statements, as of, and for the quarter and six months ended on, June 30, 2026</w:t>
              </w:r>
            </w:hyperlink>
          </w:p>
        </w:tc>
      </w:tr>
      <w:tr>
        <w:trPr/>
        <w:tc>
          <w:tcPr>
            <w:tcW w:w="110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EX-101.INS</w:t>
            </w:r>
          </w:p>
        </w:tc>
        <w:tc>
          <w:tcPr>
            <w:tcW w:w="60" w:type="dxa"/>
            <w:tcBorders/>
            <w:shd w:fill="CCEEFF" w:val="clear"/>
            <w:vAlign w:val="center"/>
          </w:tcPr>
          <w:p>
            <w:pPr>
              <w:pStyle w:val="TableContents"/>
              <w:bidi w:val="0"/>
              <w:spacing w:before="0" w:after="283"/>
              <w:jc w:val="both"/>
              <w:rPr/>
            </w:pPr>
            <w:r>
              <w:rPr/>
              <w:t> </w:t>
            </w:r>
          </w:p>
        </w:tc>
        <w:tc>
          <w:tcPr>
            <w:tcW w:w="70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Taxonomy Instance Document</w:t>
            </w:r>
          </w:p>
        </w:tc>
      </w:tr>
      <w:tr>
        <w:trPr/>
        <w:tc>
          <w:tcPr>
            <w:tcW w:w="11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EX-101.SCH</w:t>
            </w:r>
          </w:p>
        </w:tc>
        <w:tc>
          <w:tcPr>
            <w:tcW w:w="60" w:type="dxa"/>
            <w:tcBorders/>
            <w:shd w:fill="FFFFFF" w:val="clear"/>
            <w:vAlign w:val="center"/>
          </w:tcPr>
          <w:p>
            <w:pPr>
              <w:pStyle w:val="TableContents"/>
              <w:bidi w:val="0"/>
              <w:spacing w:before="0" w:after="283"/>
              <w:jc w:val="both"/>
              <w:rPr/>
            </w:pPr>
            <w:r>
              <w:rPr/>
              <w:t> </w:t>
            </w:r>
          </w:p>
        </w:tc>
        <w:tc>
          <w:tcPr>
            <w:tcW w:w="704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110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EX-101.CAL</w:t>
            </w:r>
          </w:p>
        </w:tc>
        <w:tc>
          <w:tcPr>
            <w:tcW w:w="60" w:type="dxa"/>
            <w:tcBorders/>
            <w:shd w:fill="CCEEFF" w:val="clear"/>
            <w:vAlign w:val="center"/>
          </w:tcPr>
          <w:p>
            <w:pPr>
              <w:pStyle w:val="TableContents"/>
              <w:bidi w:val="0"/>
              <w:spacing w:before="0" w:after="283"/>
              <w:jc w:val="both"/>
              <w:rPr/>
            </w:pPr>
            <w:r>
              <w:rPr/>
              <w:t> </w:t>
            </w:r>
          </w:p>
        </w:tc>
        <w:tc>
          <w:tcPr>
            <w:tcW w:w="70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Taxonomy Calculation Linkbase Document</w:t>
            </w:r>
          </w:p>
        </w:tc>
      </w:tr>
      <w:tr>
        <w:trPr/>
        <w:tc>
          <w:tcPr>
            <w:tcW w:w="11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EX-101.DEF</w:t>
            </w:r>
          </w:p>
        </w:tc>
        <w:tc>
          <w:tcPr>
            <w:tcW w:w="60" w:type="dxa"/>
            <w:tcBorders/>
            <w:shd w:fill="FFFFFF" w:val="clear"/>
            <w:vAlign w:val="center"/>
          </w:tcPr>
          <w:p>
            <w:pPr>
              <w:pStyle w:val="TableContents"/>
              <w:bidi w:val="0"/>
              <w:spacing w:before="0" w:after="283"/>
              <w:jc w:val="both"/>
              <w:rPr/>
            </w:pPr>
            <w:r>
              <w:rPr/>
              <w:t> </w:t>
            </w:r>
          </w:p>
        </w:tc>
        <w:tc>
          <w:tcPr>
            <w:tcW w:w="704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110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EX-101.LAB</w:t>
            </w:r>
          </w:p>
        </w:tc>
        <w:tc>
          <w:tcPr>
            <w:tcW w:w="60" w:type="dxa"/>
            <w:tcBorders/>
            <w:shd w:fill="CCEEFF" w:val="clear"/>
            <w:vAlign w:val="center"/>
          </w:tcPr>
          <w:p>
            <w:pPr>
              <w:pStyle w:val="TableContents"/>
              <w:bidi w:val="0"/>
              <w:spacing w:before="0" w:after="283"/>
              <w:jc w:val="both"/>
              <w:rPr/>
            </w:pPr>
            <w:r>
              <w:rPr/>
              <w:t> </w:t>
            </w:r>
          </w:p>
        </w:tc>
        <w:tc>
          <w:tcPr>
            <w:tcW w:w="70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Taxonomy Label Linkbase Document</w:t>
            </w:r>
          </w:p>
        </w:tc>
      </w:tr>
      <w:tr>
        <w:trPr/>
        <w:tc>
          <w:tcPr>
            <w:tcW w:w="11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EX-101.PRE</w:t>
            </w:r>
          </w:p>
        </w:tc>
        <w:tc>
          <w:tcPr>
            <w:tcW w:w="60" w:type="dxa"/>
            <w:tcBorders/>
            <w:shd w:fill="FFFFFF" w:val="clear"/>
            <w:vAlign w:val="center"/>
          </w:tcPr>
          <w:p>
            <w:pPr>
              <w:pStyle w:val="TableContents"/>
              <w:bidi w:val="0"/>
              <w:spacing w:before="0" w:after="283"/>
              <w:jc w:val="both"/>
              <w:rPr/>
            </w:pPr>
            <w:r>
              <w:rPr/>
              <w:t> </w:t>
            </w:r>
          </w:p>
        </w:tc>
        <w:tc>
          <w:tcPr>
            <w:tcW w:w="704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Taxonomy Presentation Linkbase Document</w:t>
            </w:r>
          </w:p>
        </w:tc>
      </w:tr>
    </w:tbl>
    <w:p>
      <w:pPr>
        <w:pStyle w:val="TextBody"/>
        <w:bidi w:val="0"/>
        <w:spacing w:before="0" w:after="0"/>
        <w:ind w:left="0" w:right="0" w:hanging="0"/>
        <w:jc w:val="both"/>
        <w:rPr/>
      </w:pPr>
      <w:r>
        <w:rPr>
          <w:rStyle w:val="StrongEmphasis"/>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this Report of Foreign Private Issuer on Form 6-K (including the information contained in Exhibit 99.1, but excluding quotes of senior management of the Company) are hereby incorporated by reference into the Company’s Registration Statements on (i) Form S-8, filed with the Securities and Exchange Commission (the “SEC”) on April 28, 2014, March 24, 2016, March 19, 2018, March 25, 2019, February 25, 2020, May 5, 2021, August 9, 2022, August 15, 2023, March 19, 2025 and March 5, 2026 (Registration Nos. 333-195517, 333-210375, 333-223767, 333-230487, 333-236635, 333-255784, 333-266697, 333-273997, 333-285897, and 333-294055, respectively), and (ii) Form F-3, filed with the SEC on March 31, 2023, August 29, 2024 and March 19, 2025 (Registration Nos. 333-268297, 333-281843 and 333-285908, respectively).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pPr>
      <w:r>
        <w:rPr>
          <w:rStyle w:val="StrongEmphasis"/>
          <w:rFonts w:ascii="Times New Roman;Times;serif" w:hAnsi="Times New Roman;Times;serif"/>
          <w:b w:val="false"/>
          <w:i w:val="false"/>
          <w:caps w:val="false"/>
          <w:smallCaps w:val="false"/>
          <w:sz w:val="20"/>
        </w:rPr>
        <w:t>SIGNATURE</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1865"/>
        <w:gridCol w:w="239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13, 2026</w:t>
            </w:r>
          </w:p>
        </w:tc>
        <w:tc>
          <w:tcPr>
            <w:tcW w:w="23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MEDIWOUND LTD.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Hani Luxenburg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Hani Luxenburg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283"/>
        <w:jc w:val="left"/>
        <w:rPr/>
      </w:pPr>
      <w:r>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60"/>
        <w:jc w:val="left"/>
        <w:rPr>
          <w:bdr w:val="single" w:sz="16" w:space="1" w:color="000000"/>
        </w:rPr>
      </w:pPr>
      <w:bookmarkStart w:id="2" w:name="exhibit_99-1.htm"/>
      <w:bookmarkStart w:id="3" w:name="ksexhibit_991"/>
      <w:bookmarkEnd w:id="2"/>
      <w:bookmarkEnd w:id="3"/>
      <w:r>
        <w:rPr>
          <w:bdr w:val="single" w:sz="16" w:space="1" w:color="000000"/>
        </w:rPr>
        <w:t> </w:t>
      </w:r>
      <w:r>
        <w:br w:type="page"/>
      </w:r>
    </w:p>
    <w:p>
      <w:pPr>
        <w:pStyle w:val="TextBody"/>
        <w:bidi w:val="0"/>
        <w:jc w:val="right"/>
        <w:rPr>
          <w:b/>
          <w:u w:val="single"/>
        </w:rPr>
      </w:pPr>
      <w:r>
        <w:rPr>
          <w:b/>
          <w:u w:val="single"/>
        </w:rPr>
        <w:t>Exhibit 99.1</w:t>
      </w:r>
    </w:p>
    <w:p>
      <w:pPr>
        <w:pStyle w:val="TextBody"/>
        <w:bidi w:val="0"/>
        <w:spacing w:before="0" w:after="0"/>
        <w:ind w:left="0" w:right="0" w:hanging="0"/>
        <w:jc w:val="both"/>
        <w:rPr>
          <w:caps w:val="false"/>
          <w:smallCaps w:val="false"/>
        </w:rPr>
      </w:pPr>
      <w:r>
        <w:rPr>
          <w:caps w:val="false"/>
          <w:smallCaps w:val="false"/>
        </w:rPr>
        <w:drawing>
          <wp:inline distT="0" distB="0" distL="0" distR="0">
            <wp:extent cx="216217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62175" cy="8001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MediWound Reports Second Quarter 2026 Financial Results and Provides Corporate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pacing w:val="-4"/>
          <w:sz w:val="20"/>
        </w:rPr>
      </w:pPr>
      <w:r>
        <w:rPr>
          <w:rFonts w:ascii="Times New Roman;Times;Serif" w:hAnsi="Times New Roman;Times;Serif"/>
          <w:b w:val="false"/>
          <w:i/>
          <w:caps w:val="false"/>
          <w:smallCaps w:val="false"/>
          <w:spacing w:val="-4"/>
          <w:sz w:val="20"/>
        </w:rPr>
        <w:t>EscharEx</w:t>
      </w:r>
      <w:r>
        <w:rPr>
          <w:rFonts w:ascii="Times New Roman;Times;Serif" w:hAnsi="Times New Roman;Times;Serif"/>
          <w:b w:val="false"/>
          <w:i/>
          <w:caps w:val="false"/>
          <w:smallCaps w:val="false"/>
          <w:spacing w:val="-4"/>
          <w:position w:val="7"/>
          <w:sz w:val="16"/>
          <w:sz w:val="20"/>
        </w:rPr>
        <w:t>®</w:t>
      </w:r>
      <w:r>
        <w:rPr>
          <w:rFonts w:ascii="Times New Roman;Times;Serif" w:hAnsi="Times New Roman;Times;Serif"/>
          <w:b w:val="false"/>
          <w:i/>
          <w:caps w:val="false"/>
          <w:smallCaps w:val="false"/>
          <w:spacing w:val="-4"/>
          <w:sz w:val="20"/>
        </w:rPr>
        <w:t xml:space="preserve"> Phase III VALUE Trial Advancing; Interim Assessment and Enrollment Completion Expected by End of First Quarter 2027</w:t>
      </w:r>
    </w:p>
    <w:p>
      <w:pPr>
        <w:pStyle w:val="TextBody"/>
        <w:bidi w:val="0"/>
        <w:spacing w:before="0" w:after="0"/>
        <w:ind w:left="0" w:right="0" w:hanging="0"/>
        <w:jc w:val="center"/>
        <w:rPr>
          <w:caps w:val="false"/>
          <w:smallCaps w:val="false"/>
          <w:spacing w:val="-4"/>
        </w:rPr>
      </w:pPr>
      <w:r>
        <w:rPr>
          <w:caps w:val="false"/>
          <w:smallCaps w:val="false"/>
          <w:spacing w:val="-4"/>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Master Services Agreement Signed with Vericel Under its BARDA Contract for NexoBrid</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 Quarter Revenue of $3.1 Million; Full-Year 2026 Revenue Guidance of $24–26 Million Reaffirmed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Conference Call Today at 8:30 a.m. Eastern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YAVNE, Israel, August 13, 2026</w:t>
      </w:r>
      <w:r>
        <w:rPr>
          <w:rFonts w:ascii="Times New Roman;Times;Serif" w:hAnsi="Times New Roman;Times;Serif"/>
          <w:b w:val="false"/>
          <w:i w:val="false"/>
          <w:caps w:val="false"/>
          <w:smallCaps w:val="false"/>
          <w:sz w:val="20"/>
        </w:rPr>
        <w:t xml:space="preserve"> — MediWound Ltd. (Nasdaq: MDWD), a global leader in next-generation enzymatic therapeutics for tissue repair, today announced financial results for the second quarter ended June 30, 2026, and provided a corporate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second quarter, we continued to make meaningful progress with our two key programs,” said Ofer Gonen, Chief Executive Officer of MediWound. “The EscharEx Phase III VALUE trial is advancing across the U.S., Europe, and Israel, with the interim sample size reassessment and completion of enrollment expected by the end of the first quarter of 2027. For NexoBrid, we strengthened the commercial opportunity through our new agreement with Vericel under its BARDA contract, which is expected to contribute to revenue in the second half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Highlights, Recent Developments, and Upcoming Milestones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EscharEx</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Enrollment continues in the global Phase III VALUE trial in venous leg ulcers (VLUs), targeting 216 patients across approximately 40 sites in the U.S., Europe, and Israel. The pre-specified interim sample size reassessment and completion of enrollment are expected by the end of the first quarter of 2027.</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updated U.S. market assessment by an independent global consulting firm estimates U.S. annual peak sales potential for EscharEx at $1.05 billion, following expansion of the assessment to include pressure ulcers (PUs). An investigator-initiated trial evaluating EscharEx in PUs is expected to begin in the fourth quarter of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NexoBrid</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Vericel reported NexoBrid’s strongest quarter since launch, with record quarterly revenue, hospital unit sales and ordering centers. Approximately 80 burn centers have ordered NexoBrid since launch, reflecting continued adoption and increasing utilization across the U.S. burn care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Following Vericel’s 10-year contract with BARDA, valued at up to $197 million (the “BARDA Contract”), the Company and Vericel entered into a Master Services Agreement (the “MSA”) covering NexoBrid and next-generation product development activities. Under the MSA, the Company expects to begin recognizing revenue in the second half of 2026 by participating in a next generation development program that has been initiated to support the potential expansion of NexoBrid for use in blast- and friction-related injuries, leveraging real-world evidence.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EMA-requested modifications are being implemented following the pre-audit of the expanded NexoBrid manufacturing facility, with completion expected in the fourth quarter of 2026. Commercial supply from the expanded facility remains subject to regulatory approval and is expected in the second half of 2027.</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Revenue Guidance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reaffirmed its full-year 2026 revenue guidance of $24–26 million, supported by expected second-half contributions from the MSA and other government-funded programs.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 was $3.1 million, compared with $5.7 million in the second quarter of 2025, primarily reflecting the timing of BARDA-funded development revenue.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profit was $0.3 million, or 10.9% of revenue, compared with $1.3 million, or 23.5% of revenue, in the prior-year period. The decrease primarily reflected a one-time impact related to the facility scale-up.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Research and development expenses were $5.9 million, compared with $3.5 million, primarily reflecting increased investment in the EscharEx Phase III VALUE trial.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Symbol" w:hAnsi="Symbol"/>
              </w:rPr>
            </w:pPr>
            <w:r>
              <w:rPr>
                <w:rFonts w:ascii="Symbol" w:hAnsi="Symbol"/>
              </w:rPr>
              <w:t>·</w:t>
            </w:r>
          </w:p>
        </w:tc>
        <w:tc>
          <w:tcPr>
            <w:tcW w:w="1001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Selling, general and administrative expenses were $3.9 million, compared with $3.6 million.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13"/>
        <w:gridCol w:w="9928"/>
      </w:tblGrid>
      <w:tr>
        <w:trPr/>
        <w:tc>
          <w:tcPr>
            <w:tcW w:w="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Symbol" w:hAnsi="Symbol"/>
              </w:rPr>
            </w:pPr>
            <w:r>
              <w:rPr>
                <w:rFonts w:ascii="Symbol" w:hAnsi="Symbol"/>
              </w:rPr>
              <w:t>·</w:t>
            </w:r>
          </w:p>
        </w:tc>
        <w:tc>
          <w:tcPr>
            <w:tcW w:w="992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loss was $9.5 million, compared with $5.7 million.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was $7.4 million, or $0.57 per share, compared with $13.3 million, or $1.23 per share, primarily reflecting non-cash financial income.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86"/>
        <w:gridCol w:w="9963"/>
      </w:tblGrid>
      <w:tr>
        <w:trPr/>
        <w:tc>
          <w:tcPr>
            <w:tcW w:w="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Symbol" w:hAnsi="Symbol"/>
              </w:rPr>
            </w:pPr>
            <w:r>
              <w:rPr>
                <w:rFonts w:ascii="Symbol" w:hAnsi="Symbol"/>
              </w:rPr>
              <w:t>·</w:t>
            </w:r>
          </w:p>
        </w:tc>
        <w:tc>
          <w:tcPr>
            <w:tcW w:w="996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EBITDA loss was $8.3 million, compared with $4.5 million.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Half 2026 Financial Highlights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 was $4.6 million, compared with $9.7 million in the first half of 2025, primarily reflecting the timing of BARDA-funded development revenue.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profit was $0.7 million, or 14.4% of revenue, compared with $2.1 million, or 21.5% of revenue.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Research and development expenses were $11.1 million, compared with $6.4 million, primarily reflecting increased investment in the EscharEx Phase III VALUE trial.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Selling, general and administrative expenses were $7.5 million, compared with $6.6 million, primarily reflecting higher professional services costs and exchange-rate effects.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04"/>
        <w:gridCol w:w="9939"/>
      </w:tblGrid>
      <w:tr>
        <w:trPr/>
        <w:tc>
          <w:tcPr>
            <w:tcW w:w="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Symbol" w:hAnsi="Symbol"/>
              </w:rPr>
            </w:pPr>
            <w:r>
              <w:rPr>
                <w:rFonts w:ascii="Symbol" w:hAnsi="Symbol"/>
              </w:rPr>
              <w:t>·</w:t>
            </w:r>
          </w:p>
        </w:tc>
        <w:tc>
          <w:tcPr>
            <w:tcW w:w="99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loss was $17.4 million, compared with $10.9 million.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was $10.3 million, or $0.80 per share, compared with $14.0 million, or $1.30 per share. The change primarily reflected non-cash warrant revaluation income of $7.7 million in 2026, compared with an expense of $2.4 million in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83"/>
        <w:gridCol w:w="9967"/>
      </w:tblGrid>
      <w:tr>
        <w:trPr/>
        <w:tc>
          <w:tcPr>
            <w:tcW w:w="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Symbol" w:hAnsi="Symbol"/>
              </w:rPr>
            </w:pPr>
            <w:r>
              <w:rPr>
                <w:rFonts w:ascii="Symbol" w:hAnsi="Symbol"/>
              </w:rPr>
              <w:t>·</w:t>
            </w:r>
          </w:p>
        </w:tc>
        <w:tc>
          <w:tcPr>
            <w:tcW w:w="99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Adjusted EBITDA loss was $15.3 million, compared with $8.5 million.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 and Other Highlights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of June 30, 2026, cash, cash equivalents and deposits totaled $36 million, compared with $54 million at year-end 2025. Cash burn during the first half of 2026 totaled $20 million. Warrant and option exercises generated $0.8 million during the period and an additional $1.1 million after quarter-end.</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MediWound management will host a conference call for investors on Thursday, August 13, 2026, beginning at 8:30 a.m. Eastern Time to discuss these results and answer questions. Shareholders and other interested parties may join the conference call by dialing 1-844-676-8833 (in the U.S.), 1-809-212373 (Israel), or 1-412-634-6869 (outside the U.S. &amp; Israel). The call will be available via webcast by clicking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or on the </w:t>
      </w:r>
      <w:r>
        <w:rPr>
          <w:rFonts w:ascii="Times New Roman;Times;Serif" w:hAnsi="Times New Roman;Times;Serif"/>
          <w:b w:val="false"/>
          <w:i w:val="false"/>
          <w:caps w:val="false"/>
          <w:smallCaps w:val="false"/>
          <w:sz w:val="20"/>
          <w:u w:val="single"/>
        </w:rPr>
        <w:t>Events &amp; Presentations</w:t>
      </w:r>
      <w:r>
        <w:rPr>
          <w:rFonts w:ascii="Times New Roman;Times;Serif" w:hAnsi="Times New Roman;Times;Serif"/>
          <w:b w:val="false"/>
          <w:i w:val="false"/>
          <w:caps w:val="false"/>
          <w:smallCaps w:val="false"/>
          <w:sz w:val="20"/>
        </w:rPr>
        <w:t xml:space="preserve"> page of the Company’s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replay of the call will be available on the Company’s website at </w:t>
      </w:r>
      <w:r>
        <w:rPr>
          <w:rFonts w:ascii="Times New Roman;Times;Serif" w:hAnsi="Times New Roman;Times;Serif"/>
          <w:b w:val="false"/>
          <w:i w:val="false"/>
          <w:caps w:val="false"/>
          <w:smallCaps w:val="false"/>
          <w:sz w:val="20"/>
          <w:u w:val="single"/>
        </w:rPr>
        <w:t>www.mediwound.com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consolidated financial statements prepared and presented in accordance with IFRS, the Company has provided a supplementary non-IFRS measure to consider in evaluating the Company’s performance. Management uses Adjusted EBITDA, which it defines as earnings before interest, taxes, depreciation and amortization, impairment, certain non-recurring expenses, restructuring and share-based compensation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Adjusted EBITDA is not a measure of performance or liquidity calculated in accordance with IFRS, we believe the non-IFRS financial measures we present provide meaningful supplemental information regarding our operating results primarily because they exclude certain non-cash charges or items that we do not believe are reflective of our ongoing operating results when budgeting, planning and forecasting and determining compensation, and when assessing the performance of our business with our senior management. However, investors should not consider these measures in isolation or as substitutes for operating income, cash flows from operating activities or any other measure for determining the Company’s operating performance or liquidity that is calculated in accordance with IFRS. In addition, because Adjusted EBITDA is not calculated in accordance with IFRS, it may not necessarily be comparable to similarly titled measures employed by other companies. The non-IFRS measures included in this press release have been reconciled to the IFRS results in the tables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MediWound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MediWound Ltd. (Nasdaq: MDWD) is a global biotechnology company pioneering enzymatic, non-surgical therapies for tissue repair. The company’s FDA-approved biologic, NexoBrid</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is indicated for the enzymatic removal of eschar in thermal burns and is marketed in the United States, the European Union, Japan, and additional international markets. MediWound’s late-stage pipeline product, EscharEx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is an investigational therapy for the debridement of chronic wounds, with the potential to become, if approved, a new standard of care in wound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visit </w:t>
      </w:r>
      <w:r>
        <w:rPr>
          <w:rFonts w:ascii="Times New Roman;Times;Serif" w:hAnsi="Times New Roman;Times;Serif"/>
          <w:b w:val="false"/>
          <w:i w:val="false"/>
          <w:caps w:val="false"/>
          <w:smallCaps w:val="false"/>
          <w:sz w:val="20"/>
          <w:u w:val="single"/>
        </w:rPr>
        <w:t>www.mediwound.com</w:t>
      </w:r>
      <w:r>
        <w:rPr>
          <w:rFonts w:ascii="Times New Roman;Times;Serif" w:hAnsi="Times New Roman;Times;Serif"/>
          <w:b w:val="false"/>
          <w:i w:val="false"/>
          <w:caps w:val="false"/>
          <w:smallCaps w:val="false"/>
          <w:sz w:val="20"/>
        </w:rPr>
        <w:t xml:space="preserve"> and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 (formerly Twitter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MediWound cautions you that all statements other than statements of historical fact included in this press release that address activities, events, or developments that we expect, believe, or anticipate will or may occur in the future are forward-looking statements. Although we believe that we have a reasonable basis for the forward-looking statements contained herein, they are based on current expectations about future events affecting us and are subject to risks, assumptions, uncertainties, and factors, all of which are difficult to predict and many of which are beyond our control. Actual results may differ materially from those expressed or implied by the forward-looking statements in this press release. These statements are often, but are not always, made through the use of words or phrases such as “anticipates,” “intends,” “estimates,” “plans,” “expects,” “continues,” “believe,” “guidance,” “outlook,” “target,” “future,” “potential,” “goals” and similar words or phrases, or future or conditional verbs such as “will,” “would,” “should,” “could,” “may,” or similar expressions.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Specifically, this press release contains forward-looking statements concerning the anticipated progress, development, study design, expected data timing, objectives, anticipated timelines, expectations and commercial potential of our products and product candidates, including EscharEx</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xml:space="preserve"> and NexoBrid</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Among the factors that may cause results to be materially different from those stated herein are the inherent uncertainties associated with the uncertain, lengthy and expensive nature of the product development process; the timing and conduct of our studies of our products and product candidates, including the timing, progress and results of current and future clinical studies, and our research and development programs; the approval of regulatory submission by the FDA, the European Medicines Agency or by any other regulatory authority, our ability to obtain marketing approval of our products and product candidates in the U.S. or other markets; our contracts with governmental agencies; the clinical utility, potential advantages and timing or likelihood of regulatory filings and approvals of our products and product candidates; our expectations regarding future growth, including our ability to develop new products; market acceptance of our products and product candidates; our ability to maintain adequate protection of our intellectual property; competition risks; geopolitical risks, including armed conflict, the need for additional financing; the impact of government laws and regulations and the impact of the current global macroeconomic climate on our ability to source supplies for our operations or our ability or capacity to manufacture, sell and support the use of our products and product candidates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These and other significant factors are discussed in greater detail in MediWound’s annual report on Form 20-F for the year ended December 31, 2025, filed with the Securities and Exchange Commission (“SEC”) on March 5, 2026 and Quarterly Reports on Form 6-K and other filings with the SEC from time-to-time. These forward-looking statements reflect MediWound’s current views as of the date hereof and MediWound does not undertake, and specifically disclaims, any obligation to update any of these forward-looking statements to reflect a change in their respective views or events or circumstances that occur after the date of this release except as required by law.</w:t>
      </w:r>
    </w:p>
    <w:p>
      <w:pPr>
        <w:pStyle w:val="TextBody"/>
        <w:bidi w:val="0"/>
        <w:spacing w:before="0" w:after="0"/>
        <w:ind w:left="0" w:right="0" w:hanging="0"/>
        <w:jc w:val="both"/>
        <w:rPr>
          <w:caps w:val="false"/>
          <w:smallCaps w:val="false"/>
        </w:rPr>
      </w:pPr>
      <w:r>
        <w:rPr>
          <w:caps w:val="false"/>
          <w:smallCaps w:val="false"/>
        </w:rPr>
        <w:t> </w:t>
      </w:r>
    </w:p>
    <w:tbl>
      <w:tblPr>
        <w:tblW w:w="4690" w:type="dxa"/>
        <w:jc w:val="left"/>
        <w:tblInd w:w="0" w:type="dxa"/>
        <w:tblLayout w:type="fixed"/>
        <w:tblCellMar>
          <w:top w:w="45" w:type="dxa"/>
          <w:left w:w="45" w:type="dxa"/>
          <w:bottom w:w="45" w:type="dxa"/>
          <w:right w:w="45" w:type="dxa"/>
        </w:tblCellMar>
      </w:tblPr>
      <w:tblGrid>
        <w:gridCol w:w="2015"/>
        <w:gridCol w:w="150"/>
        <w:gridCol w:w="2360"/>
        <w:gridCol w:w="165"/>
      </w:tblGrid>
      <w:tr>
        <w:trPr/>
        <w:tc>
          <w:tcPr>
            <w:tcW w:w="201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MediWound Contacts:</w:t>
            </w:r>
          </w:p>
        </w:tc>
        <w:tc>
          <w:tcPr>
            <w:tcW w:w="15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Hani Luxenburg</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MediWound Ltd.</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ir@mediwound.com</w:t>
            </w:r>
          </w:p>
        </w:tc>
        <w:tc>
          <w:tcPr>
            <w:tcW w:w="15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Ferry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w:t>
            </w:r>
          </w:p>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daniel@lifesciadvisors.com</w:t>
            </w:r>
          </w:p>
        </w:tc>
        <w:tc>
          <w:tcPr>
            <w:tcW w:w="1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Financial Position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tbl>
      <w:tblPr>
        <w:tblW w:w="8599" w:type="dxa"/>
        <w:jc w:val="left"/>
        <w:tblInd w:w="0" w:type="dxa"/>
        <w:tblLayout w:type="fixed"/>
        <w:tblCellMar>
          <w:top w:w="0" w:type="dxa"/>
          <w:left w:w="0" w:type="dxa"/>
          <w:bottom w:w="0" w:type="dxa"/>
          <w:right w:w="0" w:type="dxa"/>
        </w:tblCellMar>
      </w:tblPr>
      <w:tblGrid>
        <w:gridCol w:w="5330"/>
        <w:gridCol w:w="60"/>
        <w:gridCol w:w="60"/>
        <w:gridCol w:w="680"/>
        <w:gridCol w:w="60"/>
        <w:gridCol w:w="60"/>
        <w:gridCol w:w="60"/>
        <w:gridCol w:w="680"/>
        <w:gridCol w:w="60"/>
        <w:gridCol w:w="60"/>
        <w:gridCol w:w="114"/>
        <w:gridCol w:w="1300"/>
        <w:gridCol w:w="75"/>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b/>
                <w:i/>
              </w:rPr>
            </w:pPr>
            <w:r>
              <w:rPr>
                <w:b/>
                <w:i/>
              </w:rPr>
              <w:t>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Cash and cash equivalents and short-term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35,341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32,436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53,140</w:t>
            </w:r>
          </w:p>
        </w:tc>
        <w:tc>
          <w:tcPr>
            <w:tcW w:w="7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Trade and other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2,731</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4,117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4,093</w:t>
            </w:r>
          </w:p>
        </w:tc>
        <w:tc>
          <w:tcPr>
            <w:tcW w:w="7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42,951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59,964</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b/>
                <w:i/>
              </w:rPr>
            </w:pPr>
            <w:r>
              <w:rPr>
                <w:b/>
                <w:i/>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Other receivables and long-term restricted bank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467</w:t>
            </w:r>
          </w:p>
        </w:tc>
        <w:tc>
          <w:tcPr>
            <w:tcW w:w="7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15,724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18,640</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7,151</w:t>
            </w:r>
          </w:p>
        </w:tc>
        <w:tc>
          <w:tcPr>
            <w:tcW w:w="7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pPr>
            <w:r>
              <w:rPr/>
              <w:t>33</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26,291</w:t>
            </w:r>
          </w:p>
        </w:tc>
        <w:tc>
          <w:tcPr>
            <w:tcW w:w="7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71,879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67,001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86,255</w:t>
            </w:r>
          </w:p>
        </w:tc>
        <w:tc>
          <w:tcPr>
            <w:tcW w:w="7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b/>
                <w:i/>
              </w:rPr>
            </w:pPr>
            <w:r>
              <w:rPr>
                <w:b/>
                <w:i/>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Current maturities of long-term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870</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18,992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12,659</w:t>
            </w:r>
          </w:p>
        </w:tc>
        <w:tc>
          <w:tcPr>
            <w:tcW w:w="7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Trade payables and accrued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7,626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7,648</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5,249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4,531</w:t>
            </w:r>
          </w:p>
        </w:tc>
        <w:tc>
          <w:tcPr>
            <w:tcW w:w="7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25,708</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b/>
                <w:i/>
              </w:rPr>
            </w:pPr>
            <w:r>
              <w:rPr>
                <w:b/>
                <w:i/>
              </w:rPr>
              <w:t>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Grants received in advance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Liabilities in respect of IIA grants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8,291</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8,605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8,152</w:t>
            </w:r>
          </w:p>
        </w:tc>
        <w:tc>
          <w:tcPr>
            <w:tcW w:w="7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Severance pay liability,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pPr>
            <w:r>
              <w:rPr/>
              <w:t>472</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17,811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16,915</w:t>
            </w:r>
          </w:p>
        </w:tc>
        <w:tc>
          <w:tcPr>
            <w:tcW w:w="7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36,235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46,882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42,623</w:t>
            </w:r>
          </w:p>
        </w:tc>
        <w:tc>
          <w:tcPr>
            <w:tcW w:w="7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35,644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20,119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pPr>
            <w:r>
              <w:rPr/>
              <w:t>43,632</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b/>
              </w:rPr>
            </w:pPr>
            <w:r>
              <w:rPr>
                <w:b/>
              </w:rPr>
              <w:t>Total liabilities and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71,879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67,001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86,255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Profit or Loss and Other Comprehensive Income or Loss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3"/>
        <w:gridCol w:w="60"/>
        <w:gridCol w:w="60"/>
        <w:gridCol w:w="1100"/>
        <w:gridCol w:w="95"/>
        <w:gridCol w:w="60"/>
        <w:gridCol w:w="60"/>
        <w:gridCol w:w="1100"/>
        <w:gridCol w:w="95"/>
        <w:gridCol w:w="60"/>
        <w:gridCol w:w="60"/>
        <w:gridCol w:w="1100"/>
        <w:gridCol w:w="95"/>
        <w:gridCol w:w="60"/>
        <w:gridCol w:w="60"/>
        <w:gridCol w:w="1100"/>
        <w:gridCol w:w="95"/>
        <w:gridCol w:w="60"/>
        <w:gridCol w:w="65"/>
        <w:gridCol w:w="1206"/>
        <w:gridCol w:w="111"/>
      </w:tblGrid>
      <w:tr>
        <w:trPr/>
        <w:tc>
          <w:tcPr>
            <w:tcW w:w="35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5" w:type="dxa"/>
            <w:gridSpan w:val="6"/>
            <w:tcBorders/>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vAlign w:val="center"/>
          </w:tcPr>
          <w:p>
            <w:pPr>
              <w:pStyle w:val="TableContents"/>
              <w:bidi w:val="0"/>
              <w:spacing w:before="0" w:after="283"/>
              <w:jc w:val="center"/>
              <w:rPr>
                <w:b/>
              </w:rPr>
            </w:pPr>
            <w:r>
              <w:rPr>
                <w:b/>
              </w:rPr>
              <w:t>Year ended</w:t>
            </w:r>
          </w:p>
        </w:tc>
        <w:tc>
          <w:tcPr>
            <w:tcW w:w="111" w:type="dxa"/>
            <w:tcBorders/>
            <w:vAlign w:val="center"/>
          </w:tcPr>
          <w:p>
            <w:pPr>
              <w:pStyle w:val="TableContents"/>
              <w:bidi w:val="0"/>
              <w:spacing w:before="0" w:after="283"/>
              <w:jc w:val="left"/>
              <w:rPr/>
            </w:pPr>
            <w:r>
              <w:rPr/>
              <w:t> </w:t>
            </w:r>
          </w:p>
        </w:tc>
      </w:tr>
      <w:tr>
        <w:trPr/>
        <w:tc>
          <w:tcPr>
            <w:tcW w:w="35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1" w:type="dxa"/>
            <w:tcBorders/>
            <w:vAlign w:val="center"/>
          </w:tcPr>
          <w:p>
            <w:pPr>
              <w:pStyle w:val="TableContents"/>
              <w:bidi w:val="0"/>
              <w:spacing w:before="0" w:after="283"/>
              <w:jc w:val="left"/>
              <w:rPr/>
            </w:pPr>
            <w:r>
              <w:rPr/>
              <w:t> </w:t>
            </w:r>
          </w:p>
        </w:tc>
      </w:tr>
      <w:tr>
        <w:trPr/>
        <w:tc>
          <w:tcPr>
            <w:tcW w:w="35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center"/>
          </w:tcPr>
          <w:p>
            <w:pPr>
              <w:pStyle w:val="TableContents"/>
              <w:bidi w:val="0"/>
              <w:spacing w:before="0" w:after="283"/>
              <w:jc w:val="right"/>
              <w:rPr>
                <w:b/>
              </w:rPr>
            </w:pPr>
            <w:r>
              <w:rPr>
                <w:b/>
              </w:rPr>
              <w:t>2025</w:t>
            </w:r>
          </w:p>
        </w:tc>
        <w:tc>
          <w:tcPr>
            <w:tcW w:w="111" w:type="dxa"/>
            <w:tcBorders/>
            <w:vAlign w:val="center"/>
          </w:tcPr>
          <w:p>
            <w:pPr>
              <w:pStyle w:val="TableContents"/>
              <w:bidi w:val="0"/>
              <w:spacing w:before="0" w:after="283"/>
              <w:jc w:val="left"/>
              <w:rPr/>
            </w:pPr>
            <w:r>
              <w:rPr/>
              <w:t> </w:t>
            </w:r>
          </w:p>
        </w:tc>
      </w:tr>
      <w:tr>
        <w:trPr/>
        <w:tc>
          <w:tcPr>
            <w:tcW w:w="3503"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16,959</w:t>
            </w:r>
          </w:p>
        </w:tc>
        <w:tc>
          <w:tcPr>
            <w:tcW w:w="111" w:type="dxa"/>
            <w:tcBorders/>
            <w:shd w:fill="CCEEFF" w:val="clear"/>
            <w:vAlign w:val="center"/>
          </w:tcPr>
          <w:p>
            <w:pPr>
              <w:pStyle w:val="TableContents"/>
              <w:bidi w:val="0"/>
              <w:spacing w:before="0" w:after="283"/>
              <w:jc w:val="left"/>
              <w:rPr/>
            </w:pPr>
            <w:r>
              <w:rPr/>
              <w:t> </w:t>
            </w:r>
          </w:p>
        </w:tc>
      </w:tr>
      <w:tr>
        <w:trPr/>
        <w:tc>
          <w:tcPr>
            <w:tcW w:w="3503"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6" w:type="dxa"/>
            <w:tcBorders>
              <w:bottom w:val="single" w:sz="8" w:space="0" w:color="000000"/>
            </w:tcBorders>
            <w:shd w:fill="FFFFFF" w:val="clear"/>
            <w:tcMar>
              <w:bottom w:w="28" w:type="dxa"/>
            </w:tcMar>
            <w:vAlign w:val="center"/>
          </w:tcPr>
          <w:p>
            <w:pPr>
              <w:pStyle w:val="TableContents"/>
              <w:bidi w:val="0"/>
              <w:spacing w:before="0" w:after="283"/>
              <w:jc w:val="right"/>
              <w:rPr/>
            </w:pPr>
            <w:r>
              <w:rPr/>
              <w:t>13,705</w:t>
            </w:r>
          </w:p>
        </w:tc>
        <w:tc>
          <w:tcPr>
            <w:tcW w:w="111" w:type="dxa"/>
            <w:tcBorders/>
            <w:shd w:fill="FFFFFF" w:val="clear"/>
            <w:vAlign w:val="center"/>
          </w:tcPr>
          <w:p>
            <w:pPr>
              <w:pStyle w:val="TableContents"/>
              <w:bidi w:val="0"/>
              <w:spacing w:before="0" w:after="283"/>
              <w:jc w:val="left"/>
              <w:rPr/>
            </w:pPr>
            <w:r>
              <w:rPr/>
              <w:t> </w:t>
            </w:r>
          </w:p>
        </w:tc>
      </w:tr>
      <w:tr>
        <w:trPr/>
        <w:tc>
          <w:tcPr>
            <w:tcW w:w="3503"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2,080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b/>
              </w:rPr>
            </w:pPr>
            <w:r>
              <w:rPr>
                <w:b/>
              </w:rPr>
              <w:t>3,254</w:t>
            </w:r>
          </w:p>
        </w:tc>
        <w:tc>
          <w:tcPr>
            <w:tcW w:w="111" w:type="dxa"/>
            <w:tcBorders/>
            <w:shd w:fill="CCEEFF" w:val="clear"/>
            <w:vAlign w:val="center"/>
          </w:tcPr>
          <w:p>
            <w:pPr>
              <w:pStyle w:val="TableContents"/>
              <w:bidi w:val="0"/>
              <w:spacing w:before="0" w:after="283"/>
              <w:jc w:val="left"/>
              <w:rPr/>
            </w:pPr>
            <w:r>
              <w:rPr/>
              <w:t> </w:t>
            </w:r>
          </w:p>
        </w:tc>
      </w:tr>
      <w:tr>
        <w:trPr/>
        <w:tc>
          <w:tcPr>
            <w:tcW w:w="35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3503"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14,320</w:t>
            </w:r>
          </w:p>
        </w:tc>
        <w:tc>
          <w:tcPr>
            <w:tcW w:w="111" w:type="dxa"/>
            <w:tcBorders/>
            <w:shd w:fill="CCEEFF" w:val="clear"/>
            <w:vAlign w:val="center"/>
          </w:tcPr>
          <w:p>
            <w:pPr>
              <w:pStyle w:val="TableContents"/>
              <w:bidi w:val="0"/>
              <w:spacing w:before="0" w:after="283"/>
              <w:jc w:val="left"/>
              <w:rPr/>
            </w:pPr>
            <w:r>
              <w:rPr/>
              <w:t> </w:t>
            </w:r>
          </w:p>
        </w:tc>
      </w:tr>
      <w:tr>
        <w:trPr/>
        <w:tc>
          <w:tcPr>
            <w:tcW w:w="3503"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5,765</w:t>
            </w:r>
          </w:p>
        </w:tc>
        <w:tc>
          <w:tcPr>
            <w:tcW w:w="111" w:type="dxa"/>
            <w:tcBorders/>
            <w:shd w:fill="FFFFFF" w:val="clear"/>
            <w:vAlign w:val="center"/>
          </w:tcPr>
          <w:p>
            <w:pPr>
              <w:pStyle w:val="TableContents"/>
              <w:bidi w:val="0"/>
              <w:spacing w:before="0" w:after="283"/>
              <w:jc w:val="left"/>
              <w:rPr/>
            </w:pPr>
            <w:r>
              <w:rPr/>
              <w:t> </w:t>
            </w:r>
          </w:p>
        </w:tc>
      </w:tr>
      <w:tr>
        <w:trPr/>
        <w:tc>
          <w:tcPr>
            <w:tcW w:w="3503"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8,448</w:t>
            </w:r>
          </w:p>
        </w:tc>
        <w:tc>
          <w:tcPr>
            <w:tcW w:w="111" w:type="dxa"/>
            <w:tcBorders/>
            <w:shd w:fill="CCEEFF" w:val="clear"/>
            <w:vAlign w:val="center"/>
          </w:tcPr>
          <w:p>
            <w:pPr>
              <w:pStyle w:val="TableContents"/>
              <w:bidi w:val="0"/>
              <w:spacing w:before="0" w:after="283"/>
              <w:jc w:val="left"/>
              <w:rPr/>
            </w:pPr>
            <w:r>
              <w:rPr/>
              <w:t> </w:t>
            </w:r>
          </w:p>
        </w:tc>
      </w:tr>
      <w:tr>
        <w:trPr/>
        <w:tc>
          <w:tcPr>
            <w:tcW w:w="3503" w:type="dxa"/>
            <w:tcBorders/>
            <w:shd w:fill="FFFFFF" w:val="clear"/>
            <w:vAlign w:val="center"/>
          </w:tcPr>
          <w:p>
            <w:pPr>
              <w:pStyle w:val="TableContents"/>
              <w:bidi w:val="0"/>
              <w:spacing w:before="0" w:after="283"/>
              <w:jc w:val="left"/>
              <w:rPr/>
            </w:pPr>
            <w:r>
              <w:rPr/>
              <w:t>Other expenses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6"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111" w:type="dxa"/>
            <w:tcBorders/>
            <w:shd w:fill="FFFFFF" w:val="clear"/>
            <w:vAlign w:val="center"/>
          </w:tcPr>
          <w:p>
            <w:pPr>
              <w:pStyle w:val="TableContents"/>
              <w:bidi w:val="0"/>
              <w:spacing w:before="0" w:after="283"/>
              <w:jc w:val="left"/>
              <w:rPr/>
            </w:pPr>
            <w:r>
              <w:rPr/>
              <w:t>)</w:t>
            </w:r>
          </w:p>
        </w:tc>
      </w:tr>
      <w:tr>
        <w:trPr/>
        <w:tc>
          <w:tcPr>
            <w:tcW w:w="3503"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(17,438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(10,941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(9,458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(5,716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(25,266</w:t>
            </w:r>
          </w:p>
        </w:tc>
        <w:tc>
          <w:tcPr>
            <w:tcW w:w="111" w:type="dxa"/>
            <w:tcBorders/>
            <w:shd w:fill="CCEEFF" w:val="clear"/>
            <w:vAlign w:val="center"/>
          </w:tcPr>
          <w:p>
            <w:pPr>
              <w:pStyle w:val="TableContents"/>
              <w:bidi w:val="0"/>
              <w:spacing w:before="0" w:after="283"/>
              <w:jc w:val="left"/>
              <w:rPr>
                <w:b/>
              </w:rPr>
            </w:pPr>
            <w:r>
              <w:rPr>
                <w:b/>
              </w:rPr>
              <w:t>)</w:t>
            </w:r>
          </w:p>
        </w:tc>
      </w:tr>
      <w:tr>
        <w:trPr/>
        <w:tc>
          <w:tcPr>
            <w:tcW w:w="3503" w:type="dxa"/>
            <w:tcBorders/>
            <w:shd w:fill="FFFFFF" w:val="clear"/>
            <w:vAlign w:val="center"/>
          </w:tcPr>
          <w:p>
            <w:pPr>
              <w:pStyle w:val="TableContents"/>
              <w:bidi w:val="0"/>
              <w:spacing w:before="0" w:after="283"/>
              <w:jc w:val="left"/>
              <w:rPr/>
            </w:pPr>
            <w:r>
              <w:rPr/>
              <w:t>Financing income (expenses),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(3,060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(7,564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6" w:type="dxa"/>
            <w:tcBorders>
              <w:bottom w:val="single" w:sz="8" w:space="0" w:color="000000"/>
            </w:tcBorders>
            <w:shd w:fill="FFFFFF" w:val="clear"/>
            <w:tcMar>
              <w:bottom w:w="28" w:type="dxa"/>
            </w:tcMar>
            <w:vAlign w:val="center"/>
          </w:tcPr>
          <w:p>
            <w:pPr>
              <w:pStyle w:val="TableContents"/>
              <w:bidi w:val="0"/>
              <w:spacing w:before="0" w:after="283"/>
              <w:jc w:val="right"/>
              <w:rPr/>
            </w:pPr>
            <w:r>
              <w:rPr/>
              <w:t>1,556</w:t>
            </w:r>
          </w:p>
        </w:tc>
        <w:tc>
          <w:tcPr>
            <w:tcW w:w="111" w:type="dxa"/>
            <w:tcBorders/>
            <w:shd w:fill="FFFFFF" w:val="clear"/>
            <w:vAlign w:val="center"/>
          </w:tcPr>
          <w:p>
            <w:pPr>
              <w:pStyle w:val="TableContents"/>
              <w:bidi w:val="0"/>
              <w:spacing w:before="0" w:after="283"/>
              <w:jc w:val="left"/>
              <w:rPr/>
            </w:pPr>
            <w:r>
              <w:rPr/>
              <w:t> </w:t>
            </w:r>
          </w:p>
        </w:tc>
      </w:tr>
      <w:tr>
        <w:trPr/>
        <w:tc>
          <w:tcPr>
            <w:tcW w:w="3503" w:type="dxa"/>
            <w:tcBorders/>
            <w:shd w:fill="CCEEFF" w:val="clear"/>
            <w:vAlign w:val="center"/>
          </w:tcPr>
          <w:p>
            <w:pPr>
              <w:pStyle w:val="TableContents"/>
              <w:bidi w:val="0"/>
              <w:spacing w:before="0" w:after="283"/>
              <w:jc w:val="left"/>
              <w:rPr/>
            </w:pPr>
            <w:r>
              <w:rPr/>
              <w:t>Taxes on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6" w:type="dxa"/>
            <w:tcBorders>
              <w:bottom w:val="single" w:sz="8" w:space="0" w:color="000000"/>
            </w:tcBorders>
            <w:shd w:fill="CCEEFF" w:val="clear"/>
            <w:tcMar>
              <w:bottom w:w="28" w:type="dxa"/>
            </w:tcMar>
            <w:vAlign w:val="center"/>
          </w:tcPr>
          <w:p>
            <w:pPr>
              <w:pStyle w:val="TableContents"/>
              <w:bidi w:val="0"/>
              <w:spacing w:before="0" w:after="283"/>
              <w:jc w:val="right"/>
              <w:rPr/>
            </w:pPr>
            <w:r>
              <w:rPr/>
              <w:t>(169</w:t>
            </w:r>
          </w:p>
        </w:tc>
        <w:tc>
          <w:tcPr>
            <w:tcW w:w="111" w:type="dxa"/>
            <w:tcBorders/>
            <w:shd w:fill="CCEEFF" w:val="clear"/>
            <w:vAlign w:val="center"/>
          </w:tcPr>
          <w:p>
            <w:pPr>
              <w:pStyle w:val="TableContents"/>
              <w:bidi w:val="0"/>
              <w:spacing w:before="0" w:after="283"/>
              <w:jc w:val="left"/>
              <w:rPr/>
            </w:pPr>
            <w:r>
              <w:rPr/>
              <w:t>)</w:t>
            </w:r>
          </w:p>
        </w:tc>
      </w:tr>
      <w:tr>
        <w:trPr/>
        <w:tc>
          <w:tcPr>
            <w:tcW w:w="3503"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(10,344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(14,044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(7,392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(13,318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(23,879</w:t>
            </w:r>
          </w:p>
        </w:tc>
        <w:tc>
          <w:tcPr>
            <w:tcW w:w="111" w:type="dxa"/>
            <w:tcBorders/>
            <w:shd w:fill="FFFFFF" w:val="clear"/>
            <w:vAlign w:val="center"/>
          </w:tcPr>
          <w:p>
            <w:pPr>
              <w:pStyle w:val="TableContents"/>
              <w:bidi w:val="0"/>
              <w:spacing w:before="0" w:after="283"/>
              <w:jc w:val="left"/>
              <w:rPr>
                <w:b/>
              </w:rPr>
            </w:pPr>
            <w:r>
              <w:rPr>
                <w:b/>
              </w:rPr>
              <w:t>)</w:t>
            </w:r>
          </w:p>
        </w:tc>
      </w:tr>
      <w:tr>
        <w:trPr/>
        <w:tc>
          <w:tcPr>
            <w:tcW w:w="3503"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6"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111" w:type="dxa"/>
            <w:tcBorders/>
            <w:shd w:fill="CCEEFF" w:val="clear"/>
            <w:vAlign w:val="center"/>
          </w:tcPr>
          <w:p>
            <w:pPr>
              <w:pStyle w:val="TableContents"/>
              <w:bidi w:val="0"/>
              <w:spacing w:before="0" w:after="283"/>
              <w:jc w:val="left"/>
              <w:rPr/>
            </w:pPr>
            <w:r>
              <w:rPr/>
              <w:t>)</w:t>
            </w:r>
          </w:p>
        </w:tc>
      </w:tr>
      <w:tr>
        <w:trPr/>
        <w:tc>
          <w:tcPr>
            <w:tcW w:w="3503" w:type="dxa"/>
            <w:tcBorders/>
            <w:shd w:fill="FFFFFF" w:val="clear"/>
            <w:vAlign w:val="center"/>
          </w:tcPr>
          <w:p>
            <w:pPr>
              <w:pStyle w:val="TableContents"/>
              <w:bidi w:val="0"/>
              <w:spacing w:before="0" w:after="283"/>
              <w:jc w:val="left"/>
              <w:rPr>
                <w:b/>
              </w:rPr>
            </w:pPr>
            <w:r>
              <w:rPr>
                <w:b/>
              </w:rPr>
              <w:t>Total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(10,333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(14,054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(7,387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(13,329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(23,900</w:t>
            </w:r>
          </w:p>
        </w:tc>
        <w:tc>
          <w:tcPr>
            <w:tcW w:w="111" w:type="dxa"/>
            <w:tcBorders/>
            <w:shd w:fill="FFFFFF" w:val="clear"/>
            <w:vAlign w:val="center"/>
          </w:tcPr>
          <w:p>
            <w:pPr>
              <w:pStyle w:val="TableContents"/>
              <w:bidi w:val="0"/>
              <w:spacing w:before="0" w:after="283"/>
              <w:jc w:val="left"/>
              <w:rPr>
                <w:b/>
              </w:rPr>
            </w:pPr>
            <w:r>
              <w:rPr>
                <w:b/>
              </w:rPr>
              <w:t>)</w:t>
            </w:r>
          </w:p>
        </w:tc>
      </w:tr>
      <w:tr>
        <w:trPr/>
        <w:tc>
          <w:tcPr>
            <w:tcW w:w="35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3503" w:type="dxa"/>
            <w:tcBorders/>
            <w:shd w:fill="FFFFFF" w:val="clear"/>
            <w:vAlign w:val="center"/>
          </w:tcPr>
          <w:p>
            <w:pPr>
              <w:pStyle w:val="TableContents"/>
              <w:bidi w:val="0"/>
              <w:spacing w:before="0" w:after="283"/>
              <w:jc w:val="left"/>
              <w:rPr>
                <w:b/>
              </w:rPr>
            </w:pPr>
            <w:r>
              <w:rPr>
                <w:b/>
              </w:rPr>
              <w:t>Basic net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(2.10</w:t>
            </w:r>
          </w:p>
        </w:tc>
        <w:tc>
          <w:tcPr>
            <w:tcW w:w="111" w:type="dxa"/>
            <w:tcBorders/>
            <w:shd w:fill="FFFFFF" w:val="clear"/>
            <w:vAlign w:val="center"/>
          </w:tcPr>
          <w:p>
            <w:pPr>
              <w:pStyle w:val="TableContents"/>
              <w:bidi w:val="0"/>
              <w:spacing w:before="0" w:after="283"/>
              <w:jc w:val="left"/>
              <w:rPr/>
            </w:pPr>
            <w:r>
              <w:rPr/>
              <w:t>)</w:t>
            </w:r>
          </w:p>
        </w:tc>
      </w:tr>
      <w:tr>
        <w:trPr/>
        <w:tc>
          <w:tcPr>
            <w:tcW w:w="3503" w:type="dxa"/>
            <w:tcBorders/>
            <w:shd w:fill="CCEEFF" w:val="clear"/>
            <w:vAlign w:val="center"/>
          </w:tcPr>
          <w:p>
            <w:pPr>
              <w:pStyle w:val="TableContents"/>
              <w:bidi w:val="0"/>
              <w:spacing w:before="0" w:after="283"/>
              <w:jc w:val="left"/>
              <w:rPr>
                <w:b/>
              </w:rPr>
            </w:pPr>
            <w:r>
              <w:rPr>
                <w:b/>
              </w:rPr>
              <w:t>Diluted net loss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(2.10</w:t>
            </w:r>
          </w:p>
        </w:tc>
        <w:tc>
          <w:tcPr>
            <w:tcW w:w="111" w:type="dxa"/>
            <w:tcBorders/>
            <w:shd w:fill="CCEEFF" w:val="clear"/>
            <w:vAlign w:val="center"/>
          </w:tcPr>
          <w:p>
            <w:pPr>
              <w:pStyle w:val="TableContents"/>
              <w:bidi w:val="0"/>
              <w:spacing w:before="0" w:after="283"/>
              <w:jc w:val="left"/>
              <w:rPr/>
            </w:pPr>
            <w:r>
              <w:rPr/>
              <w:t>)</w:t>
            </w:r>
          </w:p>
        </w:tc>
      </w:tr>
      <w:tr>
        <w:trPr/>
        <w:tc>
          <w:tcPr>
            <w:tcW w:w="35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3503" w:type="dxa"/>
            <w:tcBorders/>
            <w:shd w:fill="CCEEFF" w:val="clear"/>
            <w:vAlign w:val="center"/>
          </w:tcPr>
          <w:p>
            <w:pPr>
              <w:pStyle w:val="TableContents"/>
              <w:bidi w:val="0"/>
              <w:spacing w:before="0" w:after="283"/>
              <w:jc w:val="left"/>
              <w:rPr>
                <w:b/>
              </w:rPr>
            </w:pPr>
            <w:r>
              <w:rPr>
                <w:b/>
              </w:rPr>
              <w:t>Number of shares used in calculating basic loss per share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12,861,870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10,816,990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12,883,835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10,835,251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6" w:type="dxa"/>
            <w:tcBorders>
              <w:bottom w:val="single" w:sz="8" w:space="0" w:color="000000"/>
            </w:tcBorders>
            <w:shd w:fill="CCEEFF" w:val="clear"/>
            <w:tcMar>
              <w:bottom w:w="28" w:type="dxa"/>
            </w:tcMar>
            <w:vAlign w:val="center"/>
          </w:tcPr>
          <w:p>
            <w:pPr>
              <w:pStyle w:val="TableContents"/>
              <w:bidi w:val="0"/>
              <w:spacing w:before="0" w:after="283"/>
              <w:jc w:val="right"/>
              <w:rPr/>
            </w:pPr>
            <w:r>
              <w:rPr/>
              <w:t>11,376,571</w:t>
            </w:r>
          </w:p>
        </w:tc>
        <w:tc>
          <w:tcPr>
            <w:tcW w:w="111" w:type="dxa"/>
            <w:tcBorders/>
            <w:shd w:fill="CCEEFF" w:val="clear"/>
            <w:vAlign w:val="center"/>
          </w:tcPr>
          <w:p>
            <w:pPr>
              <w:pStyle w:val="TableContents"/>
              <w:bidi w:val="0"/>
              <w:spacing w:before="0" w:after="283"/>
              <w:jc w:val="left"/>
              <w:rPr/>
            </w:pPr>
            <w:r>
              <w:rPr/>
              <w:t> </w:t>
            </w:r>
          </w:p>
        </w:tc>
      </w:tr>
      <w:tr>
        <w:trPr/>
        <w:tc>
          <w:tcPr>
            <w:tcW w:w="3503" w:type="dxa"/>
            <w:tcBorders/>
            <w:shd w:fill="FFFFFF" w:val="clear"/>
            <w:vAlign w:val="center"/>
          </w:tcPr>
          <w:p>
            <w:pPr>
              <w:pStyle w:val="TableContents"/>
              <w:bidi w:val="0"/>
              <w:spacing w:before="0" w:after="283"/>
              <w:jc w:val="left"/>
              <w:rPr>
                <w:b/>
              </w:rPr>
            </w:pPr>
            <w:r>
              <w:rPr>
                <w:b/>
              </w:rPr>
              <w:t>Number of shares used in calculating diluted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13,261,930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10,816,990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13,206,306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10,835,251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6" w:type="dxa"/>
            <w:tcBorders>
              <w:bottom w:val="single" w:sz="8" w:space="0" w:color="000000"/>
            </w:tcBorders>
            <w:shd w:fill="FFFFFF" w:val="clear"/>
            <w:tcMar>
              <w:bottom w:w="28" w:type="dxa"/>
            </w:tcMar>
            <w:vAlign w:val="center"/>
          </w:tcPr>
          <w:p>
            <w:pPr>
              <w:pStyle w:val="TableContents"/>
              <w:bidi w:val="0"/>
              <w:spacing w:before="0" w:after="283"/>
              <w:jc w:val="right"/>
              <w:rPr/>
            </w:pPr>
            <w:r>
              <w:rPr/>
              <w:t>11,376,571</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3"/>
        <w:gridCol w:w="60"/>
        <w:gridCol w:w="60"/>
        <w:gridCol w:w="763"/>
        <w:gridCol w:w="95"/>
        <w:gridCol w:w="60"/>
        <w:gridCol w:w="60"/>
        <w:gridCol w:w="763"/>
        <w:gridCol w:w="95"/>
        <w:gridCol w:w="60"/>
        <w:gridCol w:w="69"/>
        <w:gridCol w:w="740"/>
        <w:gridCol w:w="110"/>
        <w:gridCol w:w="69"/>
        <w:gridCol w:w="69"/>
        <w:gridCol w:w="881"/>
        <w:gridCol w:w="95"/>
        <w:gridCol w:w="60"/>
        <w:gridCol w:w="99"/>
        <w:gridCol w:w="1175"/>
        <w:gridCol w:w="119"/>
      </w:tblGrid>
      <w:tr>
        <w:trPr/>
        <w:tc>
          <w:tcPr>
            <w:tcW w:w="4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1" w:type="dxa"/>
            <w:gridSpan w:val="6"/>
            <w:tcBorders/>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8"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4" w:type="dxa"/>
            <w:gridSpan w:val="2"/>
            <w:tcBorders/>
            <w:vAlign w:val="center"/>
          </w:tcPr>
          <w:p>
            <w:pPr>
              <w:pStyle w:val="TableContents"/>
              <w:bidi w:val="0"/>
              <w:spacing w:before="0" w:after="283"/>
              <w:jc w:val="center"/>
              <w:rPr>
                <w:b/>
              </w:rPr>
            </w:pPr>
            <w:r>
              <w:rPr>
                <w:b/>
              </w:rPr>
              <w:t>Year Ended</w:t>
            </w:r>
          </w:p>
        </w:tc>
        <w:tc>
          <w:tcPr>
            <w:tcW w:w="119" w:type="dxa"/>
            <w:tcBorders/>
            <w:vAlign w:val="center"/>
          </w:tcPr>
          <w:p>
            <w:pPr>
              <w:pStyle w:val="TableContents"/>
              <w:bidi w:val="0"/>
              <w:spacing w:before="0" w:after="283"/>
              <w:jc w:val="left"/>
              <w:rPr/>
            </w:pPr>
            <w:r>
              <w:rPr/>
              <w:t> </w:t>
            </w:r>
          </w:p>
        </w:tc>
      </w:tr>
      <w:tr>
        <w:trPr/>
        <w:tc>
          <w:tcPr>
            <w:tcW w:w="4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9" w:type="dxa"/>
            <w:tcBorders/>
            <w:vAlign w:val="center"/>
          </w:tcPr>
          <w:p>
            <w:pPr>
              <w:pStyle w:val="TableContents"/>
              <w:bidi w:val="0"/>
              <w:spacing w:before="0" w:after="283"/>
              <w:jc w:val="left"/>
              <w:rPr/>
            </w:pPr>
            <w:r>
              <w:rPr/>
              <w:t> </w:t>
            </w:r>
          </w:p>
        </w:tc>
      </w:tr>
      <w:tr>
        <w:trPr/>
        <w:tc>
          <w:tcPr>
            <w:tcW w:w="4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9" w:type="dxa"/>
            <w:tcBorders/>
            <w:vAlign w:val="center"/>
          </w:tcPr>
          <w:p>
            <w:pPr>
              <w:pStyle w:val="TableContents"/>
              <w:bidi w:val="0"/>
              <w:spacing w:before="0" w:after="283"/>
              <w:jc w:val="left"/>
              <w:rPr/>
            </w:pPr>
            <w:r>
              <w:rPr/>
              <w:t> </w:t>
            </w:r>
          </w:p>
        </w:tc>
      </w:tr>
      <w:tr>
        <w:trPr/>
        <w:tc>
          <w:tcPr>
            <w:tcW w:w="4703" w:type="dxa"/>
            <w:tcBorders/>
            <w:shd w:fill="CCEEFF" w:val="clear"/>
            <w:vAlign w:val="center"/>
          </w:tcPr>
          <w:p>
            <w:pPr>
              <w:pStyle w:val="TableContents"/>
              <w:bidi w:val="0"/>
              <w:spacing w:before="0" w:after="283"/>
              <w:jc w:val="left"/>
              <w:rPr>
                <w:b/>
                <w:u w:val="single"/>
              </w:rPr>
            </w:pPr>
            <w:r>
              <w:rPr>
                <w:b/>
                <w:u w:val="single"/>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703"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b/>
              </w:rPr>
            </w:pPr>
            <w:r>
              <w:rPr>
                <w:b/>
              </w:rPr>
              <w:t>(10,344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b/>
              </w:rPr>
            </w:pPr>
            <w:r>
              <w:rPr>
                <w:b/>
              </w:rPr>
              <w:t>(14,044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b/>
              </w:rPr>
            </w:pPr>
            <w:r>
              <w:rPr>
                <w:b/>
              </w:rPr>
              <w:t>(7,392</w:t>
            </w:r>
          </w:p>
        </w:tc>
        <w:tc>
          <w:tcPr>
            <w:tcW w:w="110" w:type="dxa"/>
            <w:tcBorders/>
            <w:shd w:fill="FFFFFF" w:val="clear"/>
            <w:vAlign w:val="center"/>
          </w:tcPr>
          <w:p>
            <w:pPr>
              <w:pStyle w:val="TableContents"/>
              <w:bidi w:val="0"/>
              <w:spacing w:before="0" w:after="283"/>
              <w:jc w:val="left"/>
              <w:rPr>
                <w:b/>
              </w:rPr>
            </w:pPr>
            <w:r>
              <w:rPr>
                <w:b/>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b/>
              </w:rPr>
            </w:pPr>
            <w:r>
              <w:rPr>
                <w:b/>
              </w:rPr>
              <w:t>(13,318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(23,879</w:t>
            </w:r>
          </w:p>
        </w:tc>
        <w:tc>
          <w:tcPr>
            <w:tcW w:w="119" w:type="dxa"/>
            <w:tcBorders/>
            <w:shd w:fill="FFFFFF" w:val="clear"/>
            <w:vAlign w:val="center"/>
          </w:tcPr>
          <w:p>
            <w:pPr>
              <w:pStyle w:val="TableContents"/>
              <w:bidi w:val="0"/>
              <w:spacing w:before="0" w:after="283"/>
              <w:jc w:val="left"/>
              <w:rPr>
                <w:b/>
              </w:rPr>
            </w:pPr>
            <w:r>
              <w:rPr>
                <w:b/>
              </w:rPr>
              <w:t>)</w:t>
            </w:r>
          </w:p>
        </w:tc>
      </w:tr>
      <w:tr>
        <w:trPr/>
        <w:tc>
          <w:tcPr>
            <w:tcW w:w="4703"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703" w:type="dxa"/>
            <w:tcBorders/>
            <w:shd w:fill="FFFFFF" w:val="clear"/>
            <w:vAlign w:val="center"/>
          </w:tcPr>
          <w:p>
            <w:pPr>
              <w:pStyle w:val="TableContents"/>
              <w:bidi w:val="0"/>
              <w:spacing w:before="0" w:after="283"/>
              <w:jc w:val="left"/>
              <w:rPr>
                <w:b/>
              </w:rPr>
            </w:pPr>
            <w:r>
              <w:rPr>
                <w:b/>
              </w:rPr>
              <w:t>Adjustments to profit and loss items: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r>
      <w:tr>
        <w:trPr/>
        <w:tc>
          <w:tcPr>
            <w:tcW w:w="4703"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752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402</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1,860</w:t>
            </w:r>
          </w:p>
        </w:tc>
        <w:tc>
          <w:tcPr>
            <w:tcW w:w="119" w:type="dxa"/>
            <w:tcBorders/>
            <w:shd w:fill="CCEEFF" w:val="clear"/>
            <w:vAlign w:val="center"/>
          </w:tcPr>
          <w:p>
            <w:pPr>
              <w:pStyle w:val="TableContents"/>
              <w:bidi w:val="0"/>
              <w:spacing w:before="0" w:after="283"/>
              <w:jc w:val="left"/>
              <w:rPr/>
            </w:pPr>
            <w:r>
              <w:rPr/>
              <w:t> </w:t>
            </w:r>
          </w:p>
        </w:tc>
      </w:tr>
      <w:tr>
        <w:trPr/>
        <w:tc>
          <w:tcPr>
            <w:tcW w:w="4703"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1,399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1,706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755</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862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3,108</w:t>
            </w:r>
          </w:p>
        </w:tc>
        <w:tc>
          <w:tcPr>
            <w:tcW w:w="119" w:type="dxa"/>
            <w:tcBorders/>
            <w:shd w:fill="FFFFFF" w:val="clear"/>
            <w:vAlign w:val="center"/>
          </w:tcPr>
          <w:p>
            <w:pPr>
              <w:pStyle w:val="TableContents"/>
              <w:bidi w:val="0"/>
              <w:spacing w:before="0" w:after="283"/>
              <w:jc w:val="left"/>
              <w:rPr/>
            </w:pPr>
            <w:r>
              <w:rPr/>
              <w:t> </w:t>
            </w:r>
          </w:p>
        </w:tc>
      </w:tr>
      <w:tr>
        <w:trPr/>
        <w:tc>
          <w:tcPr>
            <w:tcW w:w="4703" w:type="dxa"/>
            <w:tcBorders/>
            <w:shd w:fill="CCEEFF" w:val="clear"/>
            <w:vAlign w:val="center"/>
          </w:tcPr>
          <w:p>
            <w:pPr>
              <w:pStyle w:val="TableContents"/>
              <w:bidi w:val="0"/>
              <w:spacing w:before="0" w:after="283"/>
              <w:jc w:val="left"/>
              <w:rPr/>
            </w:pPr>
            <w:r>
              <w:rPr/>
              <w:t>Revaluation of warrants accounted at fair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(7,747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2,377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(2,811</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6,647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(2,158</w:t>
            </w:r>
          </w:p>
        </w:tc>
        <w:tc>
          <w:tcPr>
            <w:tcW w:w="119" w:type="dxa"/>
            <w:tcBorders/>
            <w:shd w:fill="CCEEFF" w:val="clear"/>
            <w:vAlign w:val="center"/>
          </w:tcPr>
          <w:p>
            <w:pPr>
              <w:pStyle w:val="TableContents"/>
              <w:bidi w:val="0"/>
              <w:spacing w:before="0" w:after="283"/>
              <w:jc w:val="left"/>
              <w:rPr/>
            </w:pPr>
            <w:r>
              <w:rPr/>
              <w:t>)</w:t>
            </w:r>
          </w:p>
        </w:tc>
      </w:tr>
      <w:tr>
        <w:trPr/>
        <w:tc>
          <w:tcPr>
            <w:tcW w:w="4703" w:type="dxa"/>
            <w:tcBorders/>
            <w:shd w:fill="FFFFFF" w:val="clear"/>
            <w:vAlign w:val="center"/>
          </w:tcPr>
          <w:p>
            <w:pPr>
              <w:pStyle w:val="TableContents"/>
              <w:bidi w:val="0"/>
              <w:spacing w:before="0" w:after="283"/>
              <w:jc w:val="left"/>
              <w:rPr/>
            </w:pPr>
            <w:r>
              <w:rPr/>
              <w:t>Revaluation of liabilities in respect of IIA grants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446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305</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380</w:t>
            </w:r>
          </w:p>
        </w:tc>
        <w:tc>
          <w:tcPr>
            <w:tcW w:w="119" w:type="dxa"/>
            <w:tcBorders/>
            <w:shd w:fill="FFFFFF" w:val="clear"/>
            <w:vAlign w:val="center"/>
          </w:tcPr>
          <w:p>
            <w:pPr>
              <w:pStyle w:val="TableContents"/>
              <w:bidi w:val="0"/>
              <w:spacing w:before="0" w:after="283"/>
              <w:jc w:val="left"/>
              <w:rPr/>
            </w:pPr>
            <w:r>
              <w:rPr/>
              <w:t> </w:t>
            </w:r>
          </w:p>
        </w:tc>
      </w:tr>
      <w:tr>
        <w:trPr/>
        <w:tc>
          <w:tcPr>
            <w:tcW w:w="4703" w:type="dxa"/>
            <w:tcBorders/>
            <w:shd w:fill="CCEEFF" w:val="clear"/>
            <w:vAlign w:val="center"/>
          </w:tcPr>
          <w:p>
            <w:pPr>
              <w:pStyle w:val="TableContents"/>
              <w:bidi w:val="0"/>
              <w:spacing w:before="0" w:after="283"/>
              <w:jc w:val="left"/>
              <w:rPr/>
            </w:pPr>
            <w:r>
              <w:rPr/>
              <w:t>Financing expenses and exchange differences of lease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943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725</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1,725</w:t>
            </w:r>
          </w:p>
        </w:tc>
        <w:tc>
          <w:tcPr>
            <w:tcW w:w="119" w:type="dxa"/>
            <w:tcBorders/>
            <w:shd w:fill="CCEEFF" w:val="clear"/>
            <w:vAlign w:val="center"/>
          </w:tcPr>
          <w:p>
            <w:pPr>
              <w:pStyle w:val="TableContents"/>
              <w:bidi w:val="0"/>
              <w:spacing w:before="0" w:after="283"/>
              <w:jc w:val="left"/>
              <w:rPr/>
            </w:pPr>
            <w:r>
              <w:rPr/>
              <w:t> </w:t>
            </w:r>
          </w:p>
        </w:tc>
      </w:tr>
      <w:tr>
        <w:trPr/>
        <w:tc>
          <w:tcPr>
            <w:tcW w:w="4703" w:type="dxa"/>
            <w:tcBorders/>
            <w:shd w:fill="FFFFFF" w:val="clear"/>
            <w:vAlign w:val="center"/>
          </w:tcPr>
          <w:p>
            <w:pPr>
              <w:pStyle w:val="TableContents"/>
              <w:bidi w:val="0"/>
              <w:spacing w:before="0" w:after="283"/>
              <w:jc w:val="left"/>
              <w:rPr/>
            </w:pPr>
            <w:r>
              <w:rPr/>
              <w:t>Increase (decrease) in severance pay liability,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(147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9</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w:t>
            </w:r>
          </w:p>
        </w:tc>
        <w:tc>
          <w:tcPr>
            <w:tcW w:w="119" w:type="dxa"/>
            <w:tcBorders/>
            <w:shd w:fill="FFFFFF" w:val="clear"/>
            <w:vAlign w:val="center"/>
          </w:tcPr>
          <w:p>
            <w:pPr>
              <w:pStyle w:val="TableContents"/>
              <w:bidi w:val="0"/>
              <w:spacing w:before="0" w:after="283"/>
              <w:jc w:val="left"/>
              <w:rPr/>
            </w:pPr>
            <w:r>
              <w:rPr/>
              <w:t> </w:t>
            </w:r>
          </w:p>
        </w:tc>
      </w:tr>
      <w:tr>
        <w:trPr/>
        <w:tc>
          <w:tcPr>
            <w:tcW w:w="4703" w:type="dxa"/>
            <w:tcBorders/>
            <w:shd w:fill="CCEEFF" w:val="clear"/>
            <w:vAlign w:val="center"/>
          </w:tcPr>
          <w:p>
            <w:pPr>
              <w:pStyle w:val="TableContents"/>
              <w:bidi w:val="0"/>
              <w:spacing w:before="0" w:after="283"/>
              <w:jc w:val="left"/>
              <w:rPr/>
            </w:pPr>
            <w:r>
              <w:rPr/>
              <w:t>Other expenses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w:t>
            </w:r>
          </w:p>
        </w:tc>
        <w:tc>
          <w:tcPr>
            <w:tcW w:w="119" w:type="dxa"/>
            <w:tcBorders/>
            <w:shd w:fill="CCEEFF" w:val="clear"/>
            <w:vAlign w:val="center"/>
          </w:tcPr>
          <w:p>
            <w:pPr>
              <w:pStyle w:val="TableContents"/>
              <w:bidi w:val="0"/>
              <w:spacing w:before="0" w:after="283"/>
              <w:jc w:val="left"/>
              <w:rPr/>
            </w:pPr>
            <w:r>
              <w:rPr/>
              <w:t>)</w:t>
            </w:r>
          </w:p>
        </w:tc>
      </w:tr>
      <w:tr>
        <w:trPr/>
        <w:tc>
          <w:tcPr>
            <w:tcW w:w="4703" w:type="dxa"/>
            <w:tcBorders/>
            <w:shd w:fill="FFFFFF" w:val="clear"/>
            <w:vAlign w:val="center"/>
          </w:tcPr>
          <w:p>
            <w:pPr>
              <w:pStyle w:val="TableContents"/>
              <w:bidi w:val="0"/>
              <w:spacing w:before="0" w:after="283"/>
              <w:jc w:val="left"/>
              <w:rPr/>
            </w:pPr>
            <w:r>
              <w:rPr/>
              <w:t>Financial income,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(925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(942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(391</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(424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(1,891</w:t>
            </w:r>
          </w:p>
        </w:tc>
        <w:tc>
          <w:tcPr>
            <w:tcW w:w="119" w:type="dxa"/>
            <w:tcBorders/>
            <w:shd w:fill="FFFFFF" w:val="clear"/>
            <w:vAlign w:val="center"/>
          </w:tcPr>
          <w:p>
            <w:pPr>
              <w:pStyle w:val="TableContents"/>
              <w:bidi w:val="0"/>
              <w:spacing w:before="0" w:after="283"/>
              <w:jc w:val="left"/>
              <w:rPr/>
            </w:pPr>
            <w:r>
              <w:rPr/>
              <w:t>)</w:t>
            </w:r>
          </w:p>
        </w:tc>
      </w:tr>
      <w:tr>
        <w:trPr/>
        <w:tc>
          <w:tcPr>
            <w:tcW w:w="4703" w:type="dxa"/>
            <w:tcBorders/>
            <w:shd w:fill="CCEEFF" w:val="clear"/>
            <w:vAlign w:val="center"/>
          </w:tcPr>
          <w:p>
            <w:pPr>
              <w:pStyle w:val="TableContents"/>
              <w:bidi w:val="0"/>
              <w:spacing w:before="0" w:after="283"/>
              <w:jc w:val="left"/>
              <w:rPr/>
            </w:pPr>
            <w:r>
              <w:rPr/>
              <w:t>Unrealized foreign currency gain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CCEEFF" w:val="clear"/>
            <w:tcMar>
              <w:bottom w:w="28" w:type="dxa"/>
            </w:tcM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(107</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(51</w:t>
            </w:r>
          </w:p>
        </w:tc>
        <w:tc>
          <w:tcPr>
            <w:tcW w:w="119" w:type="dxa"/>
            <w:tcBorders/>
            <w:shd w:fill="CCEEFF" w:val="clear"/>
            <w:vAlign w:val="center"/>
          </w:tcPr>
          <w:p>
            <w:pPr>
              <w:pStyle w:val="TableContents"/>
              <w:bidi w:val="0"/>
              <w:spacing w:before="0" w:after="283"/>
              <w:jc w:val="left"/>
              <w:rPr/>
            </w:pPr>
            <w:r>
              <w:rPr/>
              <w:t>)</w:t>
            </w:r>
          </w:p>
        </w:tc>
      </w:tr>
      <w:tr>
        <w:trPr/>
        <w:tc>
          <w:tcPr>
            <w:tcW w:w="47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(5,232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(1,113</w:t>
            </w:r>
          </w:p>
        </w:tc>
        <w:tc>
          <w:tcPr>
            <w:tcW w:w="110" w:type="dxa"/>
            <w:tcBorders/>
            <w:shd w:fill="FFFFFF" w:val="clear"/>
            <w:vAlign w:val="center"/>
          </w:tcPr>
          <w:p>
            <w:pPr>
              <w:pStyle w:val="TableContents"/>
              <w:bidi w:val="0"/>
              <w:spacing w:before="0" w:after="283"/>
              <w:jc w:val="left"/>
              <w:rPr>
                <w:b/>
              </w:rPr>
            </w:pPr>
            <w:r>
              <w:rPr>
                <w:b/>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8,662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2,991</w:t>
            </w:r>
          </w:p>
        </w:tc>
        <w:tc>
          <w:tcPr>
            <w:tcW w:w="119" w:type="dxa"/>
            <w:tcBorders/>
            <w:shd w:fill="FFFFFF" w:val="clear"/>
            <w:vAlign w:val="center"/>
          </w:tcPr>
          <w:p>
            <w:pPr>
              <w:pStyle w:val="TableContents"/>
              <w:bidi w:val="0"/>
              <w:spacing w:before="0" w:after="283"/>
              <w:jc w:val="left"/>
              <w:rPr/>
            </w:pPr>
            <w:r>
              <w:rPr/>
              <w:t> </w:t>
            </w:r>
          </w:p>
        </w:tc>
      </w:tr>
      <w:tr>
        <w:trPr/>
        <w:tc>
          <w:tcPr>
            <w:tcW w:w="4703" w:type="dxa"/>
            <w:tcBorders/>
            <w:shd w:fill="CCEEFF" w:val="clear"/>
            <w:vAlign w:val="center"/>
          </w:tcPr>
          <w:p>
            <w:pPr>
              <w:pStyle w:val="TableContents"/>
              <w:bidi w:val="0"/>
              <w:spacing w:before="0" w:after="283"/>
              <w:jc w:val="left"/>
              <w:rPr>
                <w:b/>
              </w:rPr>
            </w:pPr>
            <w:r>
              <w:rPr>
                <w:b/>
              </w:rPr>
              <w:t>Changes in asset and liability items: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703" w:type="dxa"/>
            <w:tcBorders/>
            <w:shd w:fill="FFFFFF" w:val="clear"/>
            <w:vAlign w:val="center"/>
          </w:tcPr>
          <w:p>
            <w:pPr>
              <w:pStyle w:val="TableContents"/>
              <w:bidi w:val="0"/>
              <w:spacing w:before="0" w:after="283"/>
              <w:jc w:val="left"/>
              <w:rPr/>
            </w:pPr>
            <w:r>
              <w:rPr/>
              <w:t>Decrease (increase) in trade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(217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(478</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(1,671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3,211</w:t>
            </w:r>
          </w:p>
        </w:tc>
        <w:tc>
          <w:tcPr>
            <w:tcW w:w="119" w:type="dxa"/>
            <w:tcBorders/>
            <w:shd w:fill="FFFFFF" w:val="clear"/>
            <w:vAlign w:val="center"/>
          </w:tcPr>
          <w:p>
            <w:pPr>
              <w:pStyle w:val="TableContents"/>
              <w:bidi w:val="0"/>
              <w:spacing w:before="0" w:after="283"/>
              <w:jc w:val="left"/>
              <w:rPr/>
            </w:pPr>
            <w:r>
              <w:rPr/>
              <w:t> </w:t>
            </w:r>
          </w:p>
        </w:tc>
      </w:tr>
      <w:tr>
        <w:trPr/>
        <w:tc>
          <w:tcPr>
            <w:tcW w:w="4703" w:type="dxa"/>
            <w:tcBorders/>
            <w:shd w:fill="CCEEFF" w:val="clear"/>
            <w:vAlign w:val="center"/>
          </w:tcPr>
          <w:p>
            <w:pPr>
              <w:pStyle w:val="TableContents"/>
              <w:bidi w:val="0"/>
              <w:spacing w:before="0" w:after="283"/>
              <w:jc w:val="left"/>
              <w:rPr/>
            </w:pPr>
            <w:r>
              <w:rPr/>
              <w:t>Decrease (increase) in 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(1,151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655</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(263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(1,363</w:t>
            </w:r>
          </w:p>
        </w:tc>
        <w:tc>
          <w:tcPr>
            <w:tcW w:w="119" w:type="dxa"/>
            <w:tcBorders/>
            <w:shd w:fill="CCEEFF" w:val="clear"/>
            <w:vAlign w:val="center"/>
          </w:tcPr>
          <w:p>
            <w:pPr>
              <w:pStyle w:val="TableContents"/>
              <w:bidi w:val="0"/>
              <w:spacing w:before="0" w:after="283"/>
              <w:jc w:val="left"/>
              <w:rPr/>
            </w:pPr>
            <w:r>
              <w:rPr/>
              <w:t>)</w:t>
            </w:r>
          </w:p>
        </w:tc>
      </w:tr>
      <w:tr>
        <w:trPr/>
        <w:tc>
          <w:tcPr>
            <w:tcW w:w="4703" w:type="dxa"/>
            <w:tcBorders/>
            <w:shd w:fill="FFFFFF" w:val="clear"/>
            <w:vAlign w:val="center"/>
          </w:tcPr>
          <w:p>
            <w:pPr>
              <w:pStyle w:val="TableContents"/>
              <w:bidi w:val="0"/>
              <w:spacing w:before="0" w:after="283"/>
              <w:jc w:val="left"/>
              <w:rPr/>
            </w:pPr>
            <w:r>
              <w:rPr/>
              <w:t>Decrease (increase) in other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(1,300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(341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(567</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1,665</w:t>
            </w:r>
          </w:p>
        </w:tc>
        <w:tc>
          <w:tcPr>
            <w:tcW w:w="119" w:type="dxa"/>
            <w:tcBorders/>
            <w:shd w:fill="FFFFFF" w:val="clear"/>
            <w:vAlign w:val="center"/>
          </w:tcPr>
          <w:p>
            <w:pPr>
              <w:pStyle w:val="TableContents"/>
              <w:bidi w:val="0"/>
              <w:spacing w:before="0" w:after="283"/>
              <w:jc w:val="left"/>
              <w:rPr/>
            </w:pPr>
            <w:r>
              <w:rPr/>
              <w:t> </w:t>
            </w:r>
          </w:p>
        </w:tc>
      </w:tr>
      <w:tr>
        <w:trPr/>
        <w:tc>
          <w:tcPr>
            <w:tcW w:w="4703" w:type="dxa"/>
            <w:tcBorders/>
            <w:shd w:fill="CCEEFF" w:val="clear"/>
            <w:vAlign w:val="center"/>
          </w:tcPr>
          <w:p>
            <w:pPr>
              <w:pStyle w:val="TableContents"/>
              <w:bidi w:val="0"/>
              <w:spacing w:before="0" w:after="283"/>
              <w:jc w:val="left"/>
              <w:rPr/>
            </w:pPr>
            <w:r>
              <w:rPr/>
              <w:t>Increase (decrease) in trade payables and accrued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691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2,350</w:t>
            </w:r>
          </w:p>
        </w:tc>
        <w:tc>
          <w:tcPr>
            <w:tcW w:w="119" w:type="dxa"/>
            <w:tcBorders/>
            <w:shd w:fill="CCEEFF" w:val="clear"/>
            <w:vAlign w:val="center"/>
          </w:tcPr>
          <w:p>
            <w:pPr>
              <w:pStyle w:val="TableContents"/>
              <w:bidi w:val="0"/>
              <w:spacing w:before="0" w:after="283"/>
              <w:jc w:val="left"/>
              <w:rPr/>
            </w:pPr>
            <w:r>
              <w:rPr/>
              <w:t> </w:t>
            </w:r>
          </w:p>
        </w:tc>
      </w:tr>
      <w:tr>
        <w:trPr/>
        <w:tc>
          <w:tcPr>
            <w:tcW w:w="4703" w:type="dxa"/>
            <w:tcBorders/>
            <w:shd w:fill="FFFFFF" w:val="clear"/>
            <w:vAlign w:val="center"/>
          </w:tcPr>
          <w:p>
            <w:pPr>
              <w:pStyle w:val="TableContents"/>
              <w:bidi w:val="0"/>
              <w:spacing w:before="0" w:after="283"/>
              <w:jc w:val="left"/>
              <w:rPr/>
            </w:pPr>
            <w:r>
              <w:rPr/>
              <w:t>Increase in grants received in advance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724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r>
      <w:tr>
        <w:trPr/>
        <w:tc>
          <w:tcPr>
            <w:tcW w:w="4703" w:type="dxa"/>
            <w:tcBorders/>
            <w:shd w:fill="CCEEFF" w:val="clear"/>
            <w:vAlign w:val="center"/>
          </w:tcPr>
          <w:p>
            <w:pPr>
              <w:pStyle w:val="TableContents"/>
              <w:bidi w:val="0"/>
              <w:spacing w:before="0" w:after="283"/>
              <w:jc w:val="left"/>
              <w:rPr/>
            </w:pPr>
            <w:r>
              <w:rPr/>
              <w:t>Increase (decrease) in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CCEEFF" w:val="clear"/>
            <w:tcMar>
              <w:bottom w:w="28" w:type="dxa"/>
            </w:tcMar>
            <w:vAlign w:val="center"/>
          </w:tcPr>
          <w:p>
            <w:pPr>
              <w:pStyle w:val="TableContents"/>
              <w:bidi w:val="0"/>
              <w:spacing w:before="0" w:after="283"/>
              <w:jc w:val="right"/>
              <w:rPr/>
            </w:pPr>
            <w:r>
              <w:rPr/>
              <w:t>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CCEEFF" w:val="clear"/>
            <w:tcMar>
              <w:bottom w:w="28" w:type="dxa"/>
            </w:tcMar>
            <w:vAlign w:val="center"/>
          </w:tcPr>
          <w:p>
            <w:pPr>
              <w:pStyle w:val="TableContents"/>
              <w:bidi w:val="0"/>
              <w:spacing w:before="0" w:after="283"/>
              <w:jc w:val="right"/>
              <w:rPr/>
            </w:pPr>
            <w:r>
              <w:rPr/>
              <w:t>(144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(269</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(1,096</w:t>
            </w:r>
          </w:p>
        </w:tc>
        <w:tc>
          <w:tcPr>
            <w:tcW w:w="119" w:type="dxa"/>
            <w:tcBorders/>
            <w:shd w:fill="CCEEFF" w:val="clear"/>
            <w:vAlign w:val="center"/>
          </w:tcPr>
          <w:p>
            <w:pPr>
              <w:pStyle w:val="TableContents"/>
              <w:bidi w:val="0"/>
              <w:spacing w:before="0" w:after="283"/>
              <w:jc w:val="left"/>
              <w:rPr/>
            </w:pPr>
            <w:r>
              <w:rPr/>
              <w:t>)</w:t>
            </w:r>
          </w:p>
        </w:tc>
      </w:tr>
      <w:tr>
        <w:trPr/>
        <w:tc>
          <w:tcPr>
            <w:tcW w:w="47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(1,162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(622</w:t>
            </w:r>
          </w:p>
        </w:tc>
        <w:tc>
          <w:tcPr>
            <w:tcW w:w="110" w:type="dxa"/>
            <w:tcBorders/>
            <w:shd w:fill="FFFFFF" w:val="clear"/>
            <w:vAlign w:val="center"/>
          </w:tcPr>
          <w:p>
            <w:pPr>
              <w:pStyle w:val="TableContents"/>
              <w:bidi w:val="0"/>
              <w:spacing w:before="0" w:after="283"/>
              <w:jc w:val="left"/>
              <w:rPr>
                <w:b/>
              </w:rPr>
            </w:pPr>
            <w:r>
              <w:rPr>
                <w:b/>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4,767</w:t>
            </w:r>
          </w:p>
        </w:tc>
        <w:tc>
          <w:tcPr>
            <w:tcW w:w="119" w:type="dxa"/>
            <w:tcBorders/>
            <w:shd w:fill="FFFFFF" w:val="clear"/>
            <w:vAlign w:val="center"/>
          </w:tcPr>
          <w:p>
            <w:pPr>
              <w:pStyle w:val="TableContents"/>
              <w:bidi w:val="0"/>
              <w:spacing w:before="0" w:after="283"/>
              <w:jc w:val="left"/>
              <w:rPr/>
            </w:pPr>
            <w:r>
              <w:rPr/>
              <w:t> </w:t>
            </w:r>
          </w:p>
        </w:tc>
      </w:tr>
      <w:tr>
        <w:trPr/>
        <w:tc>
          <w:tcPr>
            <w:tcW w:w="4703"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(15,881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(9,866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(9,127</w:t>
            </w:r>
          </w:p>
        </w:tc>
        <w:tc>
          <w:tcPr>
            <w:tcW w:w="110" w:type="dxa"/>
            <w:tcBorders/>
            <w:shd w:fill="CCEEFF" w:val="clear"/>
            <w:vAlign w:val="center"/>
          </w:tcPr>
          <w:p>
            <w:pPr>
              <w:pStyle w:val="TableContents"/>
              <w:bidi w:val="0"/>
              <w:spacing w:before="0" w:after="283"/>
              <w:jc w:val="left"/>
              <w:rPr>
                <w:b/>
              </w:rPr>
            </w:pPr>
            <w:r>
              <w:rPr>
                <w:b/>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(5,756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(16,121</w:t>
            </w:r>
          </w:p>
        </w:tc>
        <w:tc>
          <w:tcPr>
            <w:tcW w:w="119"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65"/>
        <w:gridCol w:w="60"/>
        <w:gridCol w:w="64"/>
        <w:gridCol w:w="740"/>
        <w:gridCol w:w="103"/>
        <w:gridCol w:w="64"/>
        <w:gridCol w:w="64"/>
        <w:gridCol w:w="691"/>
        <w:gridCol w:w="95"/>
        <w:gridCol w:w="60"/>
        <w:gridCol w:w="69"/>
        <w:gridCol w:w="882"/>
        <w:gridCol w:w="110"/>
        <w:gridCol w:w="69"/>
        <w:gridCol w:w="69"/>
        <w:gridCol w:w="742"/>
        <w:gridCol w:w="95"/>
        <w:gridCol w:w="60"/>
        <w:gridCol w:w="99"/>
        <w:gridCol w:w="1177"/>
        <w:gridCol w:w="427"/>
      </w:tblGrid>
      <w:tr>
        <w:trPr/>
        <w:tc>
          <w:tcPr>
            <w:tcW w:w="4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6" w:type="dxa"/>
            <w:gridSpan w:val="6"/>
            <w:tcBorders/>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1"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gridSpan w:val="2"/>
            <w:tcBorders/>
            <w:vAlign w:val="center"/>
          </w:tcPr>
          <w:p>
            <w:pPr>
              <w:pStyle w:val="TableContents"/>
              <w:bidi w:val="0"/>
              <w:spacing w:before="0" w:after="283"/>
              <w:jc w:val="center"/>
              <w:rPr>
                <w:b/>
              </w:rPr>
            </w:pPr>
            <w:r>
              <w:rPr>
                <w:b/>
              </w:rPr>
              <w:t>Year Ended</w:t>
            </w:r>
          </w:p>
        </w:tc>
        <w:tc>
          <w:tcPr>
            <w:tcW w:w="427" w:type="dxa"/>
            <w:tcBorders/>
            <w:vAlign w:val="center"/>
          </w:tcPr>
          <w:p>
            <w:pPr>
              <w:pStyle w:val="TableContents"/>
              <w:bidi w:val="0"/>
              <w:spacing w:before="0" w:after="283"/>
              <w:jc w:val="left"/>
              <w:rPr/>
            </w:pPr>
            <w:r>
              <w:rPr/>
              <w:t> </w:t>
            </w:r>
          </w:p>
        </w:tc>
      </w:tr>
      <w:tr>
        <w:trPr/>
        <w:tc>
          <w:tcPr>
            <w:tcW w:w="4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427" w:type="dxa"/>
            <w:tcBorders/>
            <w:vAlign w:val="center"/>
          </w:tcPr>
          <w:p>
            <w:pPr>
              <w:pStyle w:val="TableContents"/>
              <w:bidi w:val="0"/>
              <w:spacing w:before="0" w:after="283"/>
              <w:jc w:val="left"/>
              <w:rPr/>
            </w:pPr>
            <w:r>
              <w:rPr/>
              <w:t> </w:t>
            </w:r>
          </w:p>
        </w:tc>
      </w:tr>
      <w:tr>
        <w:trPr/>
        <w:tc>
          <w:tcPr>
            <w:tcW w:w="4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427" w:type="dxa"/>
            <w:tcBorders/>
            <w:vAlign w:val="center"/>
          </w:tcPr>
          <w:p>
            <w:pPr>
              <w:pStyle w:val="TableContents"/>
              <w:bidi w:val="0"/>
              <w:spacing w:before="0" w:after="283"/>
              <w:ind w:left="0" w:right="0" w:hanging="0"/>
              <w:jc w:val="left"/>
              <w:rPr/>
            </w:pPr>
            <w:r>
              <w:rPr/>
              <w:t> </w:t>
            </w:r>
          </w:p>
        </w:tc>
      </w:tr>
      <w:tr>
        <w:trPr/>
        <w:tc>
          <w:tcPr>
            <w:tcW w:w="4465" w:type="dxa"/>
            <w:tcBorders/>
            <w:shd w:fill="CCEEFF" w:val="clear"/>
            <w:vAlign w:val="center"/>
          </w:tcPr>
          <w:p>
            <w:pPr>
              <w:pStyle w:val="TableContents"/>
              <w:bidi w:val="0"/>
              <w:spacing w:before="0" w:after="283"/>
              <w:jc w:val="left"/>
              <w:rPr>
                <w:b/>
                <w:u w:val="single"/>
              </w:rPr>
            </w:pPr>
            <w:r>
              <w:rPr>
                <w:b/>
                <w:u w:val="single"/>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427" w:type="dxa"/>
            <w:tcBorders/>
            <w:shd w:fill="CCEEFF" w:val="clear"/>
            <w:vAlign w:val="center"/>
          </w:tcPr>
          <w:p>
            <w:pPr>
              <w:pStyle w:val="TableContents"/>
              <w:bidi w:val="0"/>
              <w:spacing w:before="0" w:after="283"/>
              <w:jc w:val="left"/>
              <w:rPr/>
            </w:pPr>
            <w:r>
              <w:rPr/>
              <w:t> </w:t>
            </w:r>
          </w:p>
        </w:tc>
      </w:tr>
      <w:tr>
        <w:trPr/>
        <w:tc>
          <w:tcPr>
            <w:tcW w:w="4465"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(2,894</w:t>
            </w:r>
          </w:p>
        </w:tc>
        <w:tc>
          <w:tcPr>
            <w:tcW w:w="103"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(2,008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(1,074</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(1,049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(5,505</w:t>
            </w:r>
          </w:p>
        </w:tc>
        <w:tc>
          <w:tcPr>
            <w:tcW w:w="427" w:type="dxa"/>
            <w:tcBorders/>
            <w:shd w:fill="FFFFFF" w:val="clear"/>
            <w:vAlign w:val="center"/>
          </w:tcPr>
          <w:p>
            <w:pPr>
              <w:pStyle w:val="TableContents"/>
              <w:bidi w:val="0"/>
              <w:spacing w:before="0" w:after="283"/>
              <w:jc w:val="left"/>
              <w:rPr/>
            </w:pPr>
            <w:r>
              <w:rPr/>
              <w:t>)</w:t>
            </w:r>
          </w:p>
        </w:tc>
      </w:tr>
      <w:tr>
        <w:trPr/>
        <w:tc>
          <w:tcPr>
            <w:tcW w:w="4465" w:type="dxa"/>
            <w:tcBorders/>
            <w:shd w:fill="CCEEFF" w:val="clear"/>
            <w:vAlign w:val="center"/>
          </w:tcPr>
          <w:p>
            <w:pPr>
              <w:pStyle w:val="TableContents"/>
              <w:bidi w:val="0"/>
              <w:spacing w:before="0" w:after="283"/>
              <w:jc w:val="left"/>
              <w:rPr/>
            </w:pPr>
            <w:r>
              <w:rPr/>
              <w:t>Interest received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659</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83</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319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1,591</w:t>
            </w:r>
          </w:p>
        </w:tc>
        <w:tc>
          <w:tcPr>
            <w:tcW w:w="427" w:type="dxa"/>
            <w:tcBorders/>
            <w:shd w:fill="CCEEFF" w:val="clear"/>
            <w:vAlign w:val="center"/>
          </w:tcPr>
          <w:p>
            <w:pPr>
              <w:pStyle w:val="TableContents"/>
              <w:bidi w:val="0"/>
              <w:spacing w:before="0" w:after="283"/>
              <w:jc w:val="left"/>
              <w:rPr/>
            </w:pPr>
            <w:r>
              <w:rPr/>
              <w:t> </w:t>
            </w:r>
          </w:p>
        </w:tc>
      </w:tr>
      <w:tr>
        <w:trPr/>
        <w:tc>
          <w:tcPr>
            <w:tcW w:w="4465" w:type="dxa"/>
            <w:tcBorders/>
            <w:shd w:fill="FFFFFF" w:val="clear"/>
            <w:vAlign w:val="center"/>
          </w:tcPr>
          <w:p>
            <w:pPr>
              <w:pStyle w:val="TableContents"/>
              <w:bidi w:val="0"/>
              <w:spacing w:before="0" w:after="283"/>
              <w:jc w:val="both"/>
              <w:rPr/>
            </w:pPr>
            <w:r>
              <w:rPr/>
              <w:t>Proceeds from (investment in) short-term bank deposits, net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17,600</w:t>
            </w:r>
          </w:p>
        </w:tc>
        <w:tc>
          <w:tcPr>
            <w:tcW w:w="10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FFFFFF" w:val="clear"/>
            <w:tcMar>
              <w:bottom w:w="28" w:type="dxa"/>
            </w:tcMar>
            <w:vAlign w:val="center"/>
          </w:tcPr>
          <w:p>
            <w:pPr>
              <w:pStyle w:val="TableContents"/>
              <w:bidi w:val="0"/>
              <w:spacing w:before="0" w:after="283"/>
              <w:jc w:val="right"/>
              <w:rPr/>
            </w:pPr>
            <w:r>
              <w:rPr/>
              <w:t>2,985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FFFFFF" w:val="clear"/>
            <w:tcMar>
              <w:bottom w:w="28" w:type="dxa"/>
            </w:tcMar>
            <w:vAlign w:val="center"/>
          </w:tcPr>
          <w:p>
            <w:pPr>
              <w:pStyle w:val="TableContents"/>
              <w:bidi w:val="0"/>
              <w:spacing w:before="0" w:after="283"/>
              <w:jc w:val="right"/>
              <w:rPr/>
            </w:pPr>
            <w:r>
              <w:rPr/>
              <w:t>(1,400</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pPr>
            <w:r>
              <w:rPr/>
              <w:t>5,635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7" w:type="dxa"/>
            <w:tcBorders>
              <w:bottom w:val="single" w:sz="8" w:space="0" w:color="000000"/>
            </w:tcBorders>
            <w:shd w:fill="FFFFFF" w:val="clear"/>
            <w:tcMar>
              <w:bottom w:w="28" w:type="dxa"/>
            </w:tcMar>
            <w:vAlign w:val="center"/>
          </w:tcPr>
          <w:p>
            <w:pPr>
              <w:pStyle w:val="TableContents"/>
              <w:bidi w:val="0"/>
              <w:spacing w:before="0" w:after="283"/>
              <w:jc w:val="right"/>
              <w:rPr/>
            </w:pPr>
            <w:r>
              <w:rPr/>
              <w:t>(14,036</w:t>
            </w:r>
          </w:p>
        </w:tc>
        <w:tc>
          <w:tcPr>
            <w:tcW w:w="427" w:type="dxa"/>
            <w:tcBorders/>
            <w:shd w:fill="FFFFFF" w:val="clear"/>
            <w:vAlign w:val="center"/>
          </w:tcPr>
          <w:p>
            <w:pPr>
              <w:pStyle w:val="TableContents"/>
              <w:bidi w:val="0"/>
              <w:spacing w:before="0" w:after="283"/>
              <w:jc w:val="left"/>
              <w:rPr/>
            </w:pPr>
            <w:r>
              <w:rPr/>
              <w:t>)</w:t>
            </w:r>
          </w:p>
        </w:tc>
      </w:tr>
      <w:tr>
        <w:trPr/>
        <w:tc>
          <w:tcPr>
            <w:tcW w:w="4465" w:type="dxa"/>
            <w:tcBorders/>
            <w:shd w:fill="CCEEFF" w:val="clear"/>
            <w:vAlign w:val="center"/>
          </w:tcPr>
          <w:p>
            <w:pPr>
              <w:pStyle w:val="TableContents"/>
              <w:bidi w:val="0"/>
              <w:spacing w:before="0" w:after="283"/>
              <w:jc w:val="left"/>
              <w:rPr>
                <w:b/>
              </w:rPr>
            </w:pPr>
            <w:r>
              <w:rPr>
                <w:b/>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15,365</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(2,391</w:t>
            </w:r>
          </w:p>
        </w:tc>
        <w:tc>
          <w:tcPr>
            <w:tcW w:w="110" w:type="dxa"/>
            <w:tcBorders/>
            <w:shd w:fill="CCEEFF" w:val="clear"/>
            <w:vAlign w:val="center"/>
          </w:tcPr>
          <w:p>
            <w:pPr>
              <w:pStyle w:val="TableContents"/>
              <w:bidi w:val="0"/>
              <w:spacing w:before="0" w:after="283"/>
              <w:jc w:val="left"/>
              <w:rPr>
                <w:b/>
              </w:rPr>
            </w:pPr>
            <w:r>
              <w:rPr>
                <w:b/>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(17,950</w:t>
            </w:r>
          </w:p>
        </w:tc>
        <w:tc>
          <w:tcPr>
            <w:tcW w:w="427" w:type="dxa"/>
            <w:tcBorders/>
            <w:shd w:fill="CCEEFF" w:val="clear"/>
            <w:vAlign w:val="center"/>
          </w:tcPr>
          <w:p>
            <w:pPr>
              <w:pStyle w:val="TableContents"/>
              <w:bidi w:val="0"/>
              <w:spacing w:before="0" w:after="283"/>
              <w:ind w:left="0" w:right="0" w:firstLine="307"/>
              <w:jc w:val="left"/>
              <w:rPr>
                <w:b/>
              </w:rPr>
            </w:pPr>
            <w:r>
              <w:rPr>
                <w:b/>
              </w:rPr>
              <w:t>)</w:t>
            </w:r>
          </w:p>
        </w:tc>
      </w:tr>
      <w:tr>
        <w:trPr/>
        <w:tc>
          <w:tcPr>
            <w:tcW w:w="4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 </w:t>
            </w:r>
          </w:p>
        </w:tc>
        <w:tc>
          <w:tcPr>
            <w:tcW w:w="427" w:type="dxa"/>
            <w:tcBorders/>
            <w:shd w:fill="FFFFFF" w:val="clear"/>
            <w:vAlign w:val="center"/>
          </w:tcPr>
          <w:p>
            <w:pPr>
              <w:pStyle w:val="TableContents"/>
              <w:bidi w:val="0"/>
              <w:spacing w:before="0" w:after="283"/>
              <w:jc w:val="left"/>
              <w:rPr/>
            </w:pPr>
            <w:r>
              <w:rPr/>
              <w:t> </w:t>
            </w:r>
          </w:p>
        </w:tc>
      </w:tr>
      <w:tr>
        <w:trPr/>
        <w:tc>
          <w:tcPr>
            <w:tcW w:w="4465" w:type="dxa"/>
            <w:tcBorders/>
            <w:shd w:fill="CCEEFF" w:val="clear"/>
            <w:vAlign w:val="center"/>
          </w:tcPr>
          <w:p>
            <w:pPr>
              <w:pStyle w:val="TableContents"/>
              <w:bidi w:val="0"/>
              <w:spacing w:before="0" w:after="283"/>
              <w:jc w:val="left"/>
              <w:rPr>
                <w:b/>
                <w:u w:val="single"/>
              </w:rPr>
            </w:pPr>
            <w:r>
              <w:rPr>
                <w:b/>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427" w:type="dxa"/>
            <w:tcBorders/>
            <w:shd w:fill="CCEEFF" w:val="clear"/>
            <w:vAlign w:val="center"/>
          </w:tcPr>
          <w:p>
            <w:pPr>
              <w:pStyle w:val="TableContents"/>
              <w:bidi w:val="0"/>
              <w:spacing w:before="0" w:after="283"/>
              <w:jc w:val="left"/>
              <w:rPr/>
            </w:pPr>
            <w:r>
              <w:rPr/>
              <w:t> </w:t>
            </w:r>
          </w:p>
        </w:tc>
      </w:tr>
      <w:tr>
        <w:trPr/>
        <w:tc>
          <w:tcPr>
            <w:tcW w:w="4465" w:type="dxa"/>
            <w:tcBorders/>
            <w:shd w:fill="FFFFFF" w:val="clear"/>
            <w:vAlign w:val="center"/>
          </w:tcPr>
          <w:p>
            <w:pPr>
              <w:pStyle w:val="TableContents"/>
              <w:bidi w:val="0"/>
              <w:spacing w:before="0" w:after="283"/>
              <w:jc w:val="left"/>
              <w:rPr/>
            </w:pPr>
            <w:r>
              <w:rPr/>
              <w:t>Repayment of lease liabilities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(702</w:t>
            </w:r>
          </w:p>
        </w:tc>
        <w:tc>
          <w:tcPr>
            <w:tcW w:w="103"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(537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(365</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(289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(1,212</w:t>
            </w:r>
          </w:p>
        </w:tc>
        <w:tc>
          <w:tcPr>
            <w:tcW w:w="427" w:type="dxa"/>
            <w:tcBorders/>
            <w:shd w:fill="FFFFFF" w:val="clear"/>
            <w:vAlign w:val="center"/>
          </w:tcPr>
          <w:p>
            <w:pPr>
              <w:pStyle w:val="TableContents"/>
              <w:bidi w:val="0"/>
              <w:spacing w:before="0" w:after="283"/>
              <w:jc w:val="left"/>
              <w:rPr/>
            </w:pPr>
            <w:r>
              <w:rPr/>
              <w:t>)</w:t>
            </w:r>
          </w:p>
        </w:tc>
      </w:tr>
      <w:tr>
        <w:trPr/>
        <w:tc>
          <w:tcPr>
            <w:tcW w:w="4465" w:type="dxa"/>
            <w:tcBorders/>
            <w:shd w:fill="CCEEFF" w:val="clear"/>
            <w:vAlign w:val="center"/>
          </w:tcPr>
          <w:p>
            <w:pPr>
              <w:pStyle w:val="TableContents"/>
              <w:bidi w:val="0"/>
              <w:spacing w:before="0" w:after="283"/>
              <w:jc w:val="left"/>
              <w:rPr/>
            </w:pPr>
            <w:r>
              <w:rPr/>
              <w:t>Proceeds from exercise of warrants and share options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767</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838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767</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838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3,630</w:t>
            </w:r>
          </w:p>
        </w:tc>
        <w:tc>
          <w:tcPr>
            <w:tcW w:w="427" w:type="dxa"/>
            <w:tcBorders/>
            <w:shd w:fill="CCEEFF" w:val="clear"/>
            <w:vAlign w:val="center"/>
          </w:tcPr>
          <w:p>
            <w:pPr>
              <w:pStyle w:val="TableContents"/>
              <w:bidi w:val="0"/>
              <w:spacing w:before="0" w:after="283"/>
              <w:jc w:val="left"/>
              <w:rPr/>
            </w:pPr>
            <w:r>
              <w:rPr/>
              <w:t> </w:t>
            </w:r>
          </w:p>
        </w:tc>
      </w:tr>
      <w:tr>
        <w:trPr/>
        <w:tc>
          <w:tcPr>
            <w:tcW w:w="4465" w:type="dxa"/>
            <w:tcBorders/>
            <w:shd w:fill="FFFFFF" w:val="clear"/>
            <w:vAlign w:val="center"/>
          </w:tcPr>
          <w:p>
            <w:pPr>
              <w:pStyle w:val="TableContents"/>
              <w:bidi w:val="0"/>
              <w:spacing w:before="0" w:after="283"/>
              <w:jc w:val="left"/>
              <w:rPr/>
            </w:pPr>
            <w:r>
              <w:rPr/>
              <w:t>Proceeds from issuance of shares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27,416</w:t>
            </w:r>
          </w:p>
        </w:tc>
        <w:tc>
          <w:tcPr>
            <w:tcW w:w="427" w:type="dxa"/>
            <w:tcBorders/>
            <w:shd w:fill="FFFFFF" w:val="clear"/>
            <w:vAlign w:val="center"/>
          </w:tcPr>
          <w:p>
            <w:pPr>
              <w:pStyle w:val="TableContents"/>
              <w:bidi w:val="0"/>
              <w:spacing w:before="0" w:after="283"/>
              <w:jc w:val="left"/>
              <w:rPr/>
            </w:pPr>
            <w:r>
              <w:rPr/>
              <w:t> </w:t>
            </w:r>
          </w:p>
        </w:tc>
      </w:tr>
      <w:tr>
        <w:trPr/>
        <w:tc>
          <w:tcPr>
            <w:tcW w:w="4465" w:type="dxa"/>
            <w:tcBorders/>
            <w:shd w:fill="CCEEFF" w:val="clear"/>
            <w:vAlign w:val="center"/>
          </w:tcPr>
          <w:p>
            <w:pPr>
              <w:pStyle w:val="TableContents"/>
              <w:bidi w:val="0"/>
              <w:spacing w:before="0" w:after="283"/>
              <w:jc w:val="left"/>
              <w:rPr/>
            </w:pPr>
            <w:r>
              <w:rPr/>
              <w:t>Repayment of IIA grants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(84</w:t>
            </w:r>
          </w:p>
        </w:tc>
        <w:tc>
          <w:tcPr>
            <w:tcW w:w="103"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pPr>
            <w:r>
              <w:rPr/>
              <w:t>(114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8" w:space="0" w:color="000000"/>
            </w:tcBorders>
            <w:shd w:fill="CCEEFF" w:val="clear"/>
            <w:tcMar>
              <w:bottom w:w="28" w:type="dxa"/>
            </w:tcMar>
            <w:vAlign w:val="center"/>
          </w:tcPr>
          <w:p>
            <w:pPr>
              <w:pStyle w:val="TableContents"/>
              <w:bidi w:val="0"/>
              <w:spacing w:before="0" w:after="283"/>
              <w:jc w:val="right"/>
              <w:rPr/>
            </w:pPr>
            <w:r>
              <w:rPr/>
              <w:t>(214</w:t>
            </w:r>
          </w:p>
        </w:tc>
        <w:tc>
          <w:tcPr>
            <w:tcW w:w="427" w:type="dxa"/>
            <w:tcBorders/>
            <w:shd w:fill="CCEEFF" w:val="clear"/>
            <w:vAlign w:val="center"/>
          </w:tcPr>
          <w:p>
            <w:pPr>
              <w:pStyle w:val="TableContents"/>
              <w:bidi w:val="0"/>
              <w:spacing w:before="0" w:after="283"/>
              <w:jc w:val="left"/>
              <w:rPr/>
            </w:pPr>
            <w:r>
              <w:rPr/>
              <w:t>)</w:t>
            </w:r>
          </w:p>
        </w:tc>
      </w:tr>
      <w:tr>
        <w:trPr/>
        <w:tc>
          <w:tcPr>
            <w:tcW w:w="4465" w:type="dxa"/>
            <w:tcBorders/>
            <w:shd w:fill="FFFFFF" w:val="clear"/>
            <w:vAlign w:val="center"/>
          </w:tcPr>
          <w:p>
            <w:pPr>
              <w:pStyle w:val="TableContents"/>
              <w:bidi w:val="0"/>
              <w:spacing w:before="0" w:after="283"/>
              <w:jc w:val="left"/>
              <w:rPr>
                <w:b/>
              </w:rPr>
            </w:pPr>
            <w:r>
              <w:rPr>
                <w:b/>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w:t>
            </w:r>
          </w:p>
        </w:tc>
        <w:tc>
          <w:tcPr>
            <w:tcW w:w="103" w:type="dxa"/>
            <w:tcBorders/>
            <w:shd w:fill="FFFFFF" w:val="clear"/>
            <w:vAlign w:val="center"/>
          </w:tcPr>
          <w:p>
            <w:pPr>
              <w:pStyle w:val="TableContents"/>
              <w:bidi w:val="0"/>
              <w:spacing w:before="0" w:after="283"/>
              <w:jc w:val="left"/>
              <w:rPr>
                <w:b/>
              </w:rPr>
            </w:pPr>
            <w:r>
              <w:rPr>
                <w:b/>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402</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29,620</w:t>
            </w:r>
          </w:p>
        </w:tc>
        <w:tc>
          <w:tcPr>
            <w:tcW w:w="427" w:type="dxa"/>
            <w:tcBorders/>
            <w:shd w:fill="FFFFFF" w:val="clear"/>
            <w:vAlign w:val="center"/>
          </w:tcPr>
          <w:p>
            <w:pPr>
              <w:pStyle w:val="TableContents"/>
              <w:bidi w:val="0"/>
              <w:spacing w:before="0" w:after="283"/>
              <w:ind w:left="0" w:right="0" w:firstLine="134"/>
              <w:jc w:val="left"/>
              <w:rPr/>
            </w:pPr>
            <w:r>
              <w:rPr/>
              <w:t> </w:t>
            </w:r>
          </w:p>
        </w:tc>
      </w:tr>
      <w:tr>
        <w:trPr/>
        <w:tc>
          <w:tcPr>
            <w:tcW w:w="4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427" w:type="dxa"/>
            <w:tcBorders/>
            <w:shd w:fill="CCEEFF" w:val="clear"/>
            <w:vAlign w:val="center"/>
          </w:tcPr>
          <w:p>
            <w:pPr>
              <w:pStyle w:val="TableContents"/>
              <w:bidi w:val="0"/>
              <w:spacing w:before="0" w:after="283"/>
              <w:jc w:val="left"/>
              <w:rPr/>
            </w:pPr>
            <w:r>
              <w:rPr/>
              <w:t> </w:t>
            </w:r>
          </w:p>
        </w:tc>
      </w:tr>
      <w:tr>
        <w:trPr/>
        <w:tc>
          <w:tcPr>
            <w:tcW w:w="4465" w:type="dxa"/>
            <w:tcBorders/>
            <w:shd w:fill="FFFFFF" w:val="clear"/>
            <w:vAlign w:val="center"/>
          </w:tcPr>
          <w:p>
            <w:pPr>
              <w:pStyle w:val="TableContents"/>
              <w:bidi w:val="0"/>
              <w:spacing w:before="0" w:after="283"/>
              <w:jc w:val="left"/>
              <w:rPr>
                <w:b/>
              </w:rPr>
            </w:pPr>
            <w:r>
              <w:rPr>
                <w:b/>
              </w:rPr>
              <w:t>Exchange rate differences on cash and cash equivalent balances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80</w:t>
            </w:r>
          </w:p>
        </w:tc>
        <w:tc>
          <w:tcPr>
            <w:tcW w:w="10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109</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95</w:t>
            </w:r>
          </w:p>
        </w:tc>
        <w:tc>
          <w:tcPr>
            <w:tcW w:w="427" w:type="dxa"/>
            <w:tcBorders/>
            <w:shd w:fill="FFFFFF" w:val="clear"/>
            <w:vAlign w:val="center"/>
          </w:tcPr>
          <w:p>
            <w:pPr>
              <w:pStyle w:val="TableContents"/>
              <w:bidi w:val="0"/>
              <w:spacing w:before="0" w:after="283"/>
              <w:ind w:left="0" w:right="0" w:hanging="0"/>
              <w:jc w:val="left"/>
              <w:rPr/>
            </w:pPr>
            <w:r>
              <w:rPr/>
              <w:t> </w:t>
            </w:r>
          </w:p>
        </w:tc>
      </w:tr>
      <w:tr>
        <w:trPr/>
        <w:tc>
          <w:tcPr>
            <w:tcW w:w="4465" w:type="dxa"/>
            <w:tcBorders/>
            <w:shd w:fill="CCEEFF" w:val="clear"/>
            <w:vAlign w:val="center"/>
          </w:tcPr>
          <w:p>
            <w:pPr>
              <w:pStyle w:val="TableContents"/>
              <w:bidi w:val="0"/>
              <w:spacing w:before="0" w:after="283"/>
              <w:jc w:val="left"/>
              <w:rPr>
                <w:b/>
              </w:rPr>
            </w:pPr>
            <w:r>
              <w:rPr>
                <w:b/>
              </w:rPr>
              <w:t>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rPr>
            </w:pPr>
            <w:r>
              <w:rPr>
                <w:b/>
              </w:rPr>
              <w:t>(455</w:t>
            </w:r>
          </w:p>
        </w:tc>
        <w:tc>
          <w:tcPr>
            <w:tcW w:w="103"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b/>
              </w:rPr>
            </w:pPr>
            <w:r>
              <w:rPr>
                <w:b/>
              </w:rPr>
              <w:t>(8,096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right"/>
              <w:rPr>
                <w:b/>
              </w:rPr>
            </w:pPr>
            <w:r>
              <w:rPr>
                <w:b/>
              </w:rPr>
              <w:t>(11,007</w:t>
            </w:r>
          </w:p>
        </w:tc>
        <w:tc>
          <w:tcPr>
            <w:tcW w:w="110" w:type="dxa"/>
            <w:tcBorders/>
            <w:shd w:fill="CCEEFF" w:val="clear"/>
            <w:vAlign w:val="center"/>
          </w:tcPr>
          <w:p>
            <w:pPr>
              <w:pStyle w:val="TableContents"/>
              <w:bidi w:val="0"/>
              <w:spacing w:before="0" w:after="283"/>
              <w:jc w:val="left"/>
              <w:rPr>
                <w:b/>
              </w:rPr>
            </w:pPr>
            <w:r>
              <w:rPr>
                <w:b/>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b/>
              </w:rPr>
            </w:pPr>
            <w:r>
              <w:rPr>
                <w:b/>
              </w:rPr>
              <w:t>(300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b/>
              </w:rPr>
            </w:pPr>
            <w:r>
              <w:rPr>
                <w:b/>
              </w:rPr>
              <w:t>(4,356</w:t>
            </w:r>
          </w:p>
        </w:tc>
        <w:tc>
          <w:tcPr>
            <w:tcW w:w="427" w:type="dxa"/>
            <w:tcBorders/>
            <w:shd w:fill="CCEEFF" w:val="clear"/>
            <w:vAlign w:val="center"/>
          </w:tcPr>
          <w:p>
            <w:pPr>
              <w:pStyle w:val="TableContents"/>
              <w:bidi w:val="0"/>
              <w:spacing w:before="0" w:after="283"/>
              <w:jc w:val="left"/>
              <w:rPr>
                <w:b/>
              </w:rPr>
            </w:pPr>
            <w:r>
              <w:rPr>
                <w:b/>
              </w:rPr>
              <w:t>)</w:t>
            </w:r>
          </w:p>
        </w:tc>
      </w:tr>
      <w:tr>
        <w:trPr/>
        <w:tc>
          <w:tcPr>
            <w:tcW w:w="4465" w:type="dxa"/>
            <w:tcBorders/>
            <w:shd w:fill="FFFFFF" w:val="clear"/>
            <w:vAlign w:val="center"/>
          </w:tcPr>
          <w:p>
            <w:pPr>
              <w:pStyle w:val="TableContents"/>
              <w:bidi w:val="0"/>
              <w:spacing w:before="0" w:after="283"/>
              <w:jc w:val="left"/>
              <w:rPr/>
            </w:pPr>
            <w:r>
              <w:rPr/>
              <w:t>Balance of cash and cash equivalents at the beginning of the period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4,799</w:t>
            </w:r>
          </w:p>
        </w:tc>
        <w:tc>
          <w:tcPr>
            <w:tcW w:w="10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FFFFFF" w:val="clear"/>
            <w:tcMar>
              <w:bottom w:w="28" w:type="dxa"/>
            </w:tcMar>
            <w:vAlign w:val="center"/>
          </w:tcPr>
          <w:p>
            <w:pPr>
              <w:pStyle w:val="TableContents"/>
              <w:bidi w:val="0"/>
              <w:spacing w:before="0" w:after="283"/>
              <w:jc w:val="right"/>
              <w:rPr/>
            </w:pPr>
            <w:r>
              <w:rPr/>
              <w:t>9,155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15,351</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pPr>
            <w:r>
              <w:rPr/>
              <w:t>1,359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7" w:type="dxa"/>
            <w:tcBorders>
              <w:bottom w:val="single" w:sz="8" w:space="0" w:color="000000"/>
            </w:tcBorders>
            <w:shd w:fill="FFFFFF" w:val="clear"/>
            <w:tcMar>
              <w:bottom w:w="28" w:type="dxa"/>
            </w:tcMar>
            <w:vAlign w:val="center"/>
          </w:tcPr>
          <w:p>
            <w:pPr>
              <w:pStyle w:val="TableContents"/>
              <w:bidi w:val="0"/>
              <w:spacing w:before="0" w:after="283"/>
              <w:jc w:val="right"/>
              <w:rPr/>
            </w:pPr>
            <w:r>
              <w:rPr/>
              <w:t>9,155</w:t>
            </w:r>
          </w:p>
        </w:tc>
        <w:tc>
          <w:tcPr>
            <w:tcW w:w="427" w:type="dxa"/>
            <w:tcBorders/>
            <w:shd w:fill="FFFFFF" w:val="clear"/>
            <w:vAlign w:val="center"/>
          </w:tcPr>
          <w:p>
            <w:pPr>
              <w:pStyle w:val="TableContents"/>
              <w:bidi w:val="0"/>
              <w:spacing w:before="0" w:after="283"/>
              <w:jc w:val="left"/>
              <w:rPr/>
            </w:pPr>
            <w:r>
              <w:rPr/>
              <w:t> </w:t>
            </w:r>
          </w:p>
        </w:tc>
      </w:tr>
      <w:tr>
        <w:trPr/>
        <w:tc>
          <w:tcPr>
            <w:tcW w:w="4465" w:type="dxa"/>
            <w:tcBorders/>
            <w:shd w:fill="CCEEFF" w:val="clear"/>
            <w:vAlign w:val="center"/>
          </w:tcPr>
          <w:p>
            <w:pPr>
              <w:pStyle w:val="TableContents"/>
              <w:bidi w:val="0"/>
              <w:spacing w:before="0" w:after="283"/>
              <w:jc w:val="left"/>
              <w:rPr>
                <w:b/>
              </w:rPr>
            </w:pPr>
            <w:r>
              <w:rPr>
                <w:b/>
              </w:rPr>
              <w:t>Balance of cash and cash equivalents at the end of the period</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4,344</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4,344</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4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4,799</w:t>
            </w:r>
          </w:p>
        </w:tc>
        <w:tc>
          <w:tcPr>
            <w:tcW w:w="42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tbl>
      <w:tblPr>
        <w:tblW w:w="9298" w:type="dxa"/>
        <w:jc w:val="left"/>
        <w:tblInd w:w="0" w:type="dxa"/>
        <w:tblLayout w:type="fixed"/>
        <w:tblCellMar>
          <w:top w:w="0" w:type="dxa"/>
          <w:left w:w="0" w:type="dxa"/>
          <w:bottom w:w="0" w:type="dxa"/>
          <w:right w:w="0" w:type="dxa"/>
        </w:tblCellMar>
      </w:tblPr>
      <w:tblGrid>
        <w:gridCol w:w="3470"/>
        <w:gridCol w:w="60"/>
        <w:gridCol w:w="61"/>
        <w:gridCol w:w="769"/>
        <w:gridCol w:w="96"/>
        <w:gridCol w:w="61"/>
        <w:gridCol w:w="61"/>
        <w:gridCol w:w="769"/>
        <w:gridCol w:w="95"/>
        <w:gridCol w:w="60"/>
        <w:gridCol w:w="76"/>
        <w:gridCol w:w="808"/>
        <w:gridCol w:w="120"/>
        <w:gridCol w:w="76"/>
        <w:gridCol w:w="76"/>
        <w:gridCol w:w="961"/>
        <w:gridCol w:w="95"/>
        <w:gridCol w:w="60"/>
        <w:gridCol w:w="104"/>
        <w:gridCol w:w="1310"/>
        <w:gridCol w:w="110"/>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7" w:type="dxa"/>
            <w:gridSpan w:val="6"/>
            <w:tcBorders/>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7"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b/>
              </w:rPr>
            </w:pPr>
            <w:r>
              <w:rPr>
                <w:b/>
              </w:rPr>
              <w:t>(10,344</w:t>
            </w:r>
          </w:p>
        </w:tc>
        <w:tc>
          <w:tcPr>
            <w:tcW w:w="96" w:type="dxa"/>
            <w:tcBorders/>
            <w:shd w:fill="CCEEFF" w:val="clear"/>
            <w:vAlign w:val="center"/>
          </w:tcPr>
          <w:p>
            <w:pPr>
              <w:pStyle w:val="TableContents"/>
              <w:bidi w:val="0"/>
              <w:spacing w:before="0" w:after="283"/>
              <w:jc w:val="left"/>
              <w:rPr>
                <w:b/>
              </w:rPr>
            </w:pPr>
            <w:r>
              <w:rPr>
                <w:b/>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b/>
              </w:rPr>
            </w:pPr>
            <w:r>
              <w:rPr>
                <w:b/>
              </w:rPr>
              <w:t>(14,044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b/>
              </w:rPr>
            </w:pPr>
            <w:r>
              <w:rPr>
                <w:b/>
              </w:rPr>
              <w:t>(7,392</w:t>
            </w:r>
          </w:p>
        </w:tc>
        <w:tc>
          <w:tcPr>
            <w:tcW w:w="120"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b/>
              </w:rPr>
            </w:pPr>
            <w:r>
              <w:rPr>
                <w:b/>
              </w:rPr>
              <w:t>(13,318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b/>
              </w:rPr>
            </w:pPr>
            <w:r>
              <w:rPr>
                <w:b/>
              </w:rPr>
              <w:t>(23,879</w:t>
            </w:r>
          </w:p>
        </w:tc>
        <w:tc>
          <w:tcPr>
            <w:tcW w:w="110" w:type="dxa"/>
            <w:tcBorders/>
            <w:shd w:fill="CCEEFF" w:val="clear"/>
            <w:vAlign w:val="center"/>
          </w:tcPr>
          <w:p>
            <w:pPr>
              <w:pStyle w:val="TableContents"/>
              <w:bidi w:val="0"/>
              <w:spacing w:before="0" w:after="283"/>
              <w:jc w:val="left"/>
              <w:rPr>
                <w:b/>
              </w:rPr>
            </w:pPr>
            <w:r>
              <w:rPr>
                <w:b/>
              </w:rPr>
              <w:t>)</w:t>
            </w:r>
          </w:p>
        </w:tc>
      </w:tr>
      <w:tr>
        <w:trPr/>
        <w:tc>
          <w:tcPr>
            <w:tcW w:w="3470" w:type="dxa"/>
            <w:tcBorders/>
            <w:shd w:fill="FFFFFF" w:val="clear"/>
            <w:vAlign w:val="center"/>
          </w:tcPr>
          <w:p>
            <w:pPr>
              <w:pStyle w:val="TableContents"/>
              <w:bidi w:val="0"/>
              <w:spacing w:before="0" w:after="283"/>
              <w:jc w:val="left"/>
              <w:rPr/>
            </w:pPr>
            <w:r>
              <w:rPr/>
              <w:t>Adjustments: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Financing expenses, net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7,110</w:t>
            </w:r>
          </w:p>
        </w:tc>
        <w:tc>
          <w:tcPr>
            <w:tcW w:w="96"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(3,060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2,099</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(7,564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1,556</w:t>
            </w:r>
          </w:p>
        </w:tc>
        <w:tc>
          <w:tcPr>
            <w:tcW w:w="11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Other expenses, net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Taxes on income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(16</w:t>
            </w:r>
          </w:p>
        </w:tc>
        <w:tc>
          <w:tcPr>
            <w:tcW w:w="96"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(33</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(169</w:t>
            </w:r>
          </w:p>
        </w:tc>
        <w:tc>
          <w:tcPr>
            <w:tcW w:w="110" w:type="dxa"/>
            <w:tcBorders/>
            <w:shd w:fill="CCEEFF" w:val="clear"/>
            <w:vAlign w:val="center"/>
          </w:tcPr>
          <w:p>
            <w:pPr>
              <w:pStyle w:val="TableContents"/>
              <w:bidi w:val="0"/>
              <w:spacing w:before="0" w:after="283"/>
              <w:jc w:val="left"/>
              <w:rPr/>
            </w:pPr>
            <w:r>
              <w:rPr/>
              <w:t>)</w:t>
            </w:r>
          </w:p>
        </w:tc>
      </w:tr>
      <w:tr>
        <w:trPr/>
        <w:tc>
          <w:tcPr>
            <w:tcW w:w="347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(780</w:t>
            </w:r>
          </w:p>
        </w:tc>
        <w:tc>
          <w:tcPr>
            <w:tcW w:w="96"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pPr>
            <w:r>
              <w:rPr/>
              <w:t>(752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(402</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(394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(1,860</w:t>
            </w:r>
          </w:p>
        </w:tc>
        <w:tc>
          <w:tcPr>
            <w:tcW w:w="110" w:type="dxa"/>
            <w:tcBorders/>
            <w:shd w:fill="FFFFFF" w:val="clear"/>
            <w:vAlign w:val="center"/>
          </w:tcPr>
          <w:p>
            <w:pPr>
              <w:pStyle w:val="TableContents"/>
              <w:bidi w:val="0"/>
              <w:spacing w:before="0" w:after="283"/>
              <w:jc w:val="left"/>
              <w:rPr/>
            </w:pPr>
            <w:r>
              <w:rPr/>
              <w:t>)</w:t>
            </w:r>
          </w:p>
        </w:tc>
      </w:tr>
      <w:tr>
        <w:trPr/>
        <w:tc>
          <w:tcPr>
            <w:tcW w:w="3470" w:type="dxa"/>
            <w:tcBorders/>
            <w:shd w:fill="CCEEFF" w:val="clear"/>
            <w:vAlign w:val="center"/>
          </w:tcPr>
          <w:p>
            <w:pPr>
              <w:pStyle w:val="TableContents"/>
              <w:bidi w:val="0"/>
              <w:spacing w:before="0" w:after="283"/>
              <w:jc w:val="left"/>
              <w:rPr/>
            </w:pPr>
            <w:r>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pPr>
            <w:r>
              <w:rPr/>
              <w:t>(1,399</w:t>
            </w:r>
          </w:p>
        </w:tc>
        <w:tc>
          <w:tcPr>
            <w:tcW w:w="96"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single" w:sz="8" w:space="0" w:color="000000"/>
            </w:tcBorders>
            <w:shd w:fill="CCEEFF" w:val="clear"/>
            <w:tcMar>
              <w:bottom w:w="28" w:type="dxa"/>
            </w:tcMar>
            <w:vAlign w:val="center"/>
          </w:tcPr>
          <w:p>
            <w:pPr>
              <w:pStyle w:val="TableContents"/>
              <w:bidi w:val="0"/>
              <w:spacing w:before="0" w:after="283"/>
              <w:jc w:val="right"/>
              <w:rPr/>
            </w:pPr>
            <w:r>
              <w:rPr/>
              <w:t>(1,706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8" w:type="dxa"/>
            <w:tcBorders>
              <w:bottom w:val="single" w:sz="8" w:space="0" w:color="000000"/>
            </w:tcBorders>
            <w:shd w:fill="CCEEFF" w:val="clear"/>
            <w:tcMar>
              <w:bottom w:w="28" w:type="dxa"/>
            </w:tcMar>
            <w:vAlign w:val="center"/>
          </w:tcPr>
          <w:p>
            <w:pPr>
              <w:pStyle w:val="TableContents"/>
              <w:bidi w:val="0"/>
              <w:spacing w:before="0" w:after="283"/>
              <w:jc w:val="right"/>
              <w:rPr/>
            </w:pPr>
            <w:r>
              <w:rPr/>
              <w:t>(755</w:t>
            </w:r>
          </w:p>
        </w:tc>
        <w:tc>
          <w:tcPr>
            <w:tcW w:w="120"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1" w:type="dxa"/>
            <w:tcBorders>
              <w:bottom w:val="single" w:sz="8" w:space="0" w:color="000000"/>
            </w:tcBorders>
            <w:shd w:fill="CCEEFF" w:val="clear"/>
            <w:tcMar>
              <w:bottom w:w="28" w:type="dxa"/>
            </w:tcMar>
            <w:vAlign w:val="center"/>
          </w:tcPr>
          <w:p>
            <w:pPr>
              <w:pStyle w:val="TableContents"/>
              <w:bidi w:val="0"/>
              <w:spacing w:before="0" w:after="283"/>
              <w:jc w:val="right"/>
              <w:rPr/>
            </w:pPr>
            <w:r>
              <w:rPr/>
              <w:t>(862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pPr>
            <w:r>
              <w:rPr/>
              <w:t>(3,108</w:t>
            </w:r>
          </w:p>
        </w:tc>
        <w:tc>
          <w:tcPr>
            <w:tcW w:w="110" w:type="dxa"/>
            <w:tcBorders/>
            <w:shd w:fill="CCEEFF" w:val="clear"/>
            <w:vAlign w:val="center"/>
          </w:tcPr>
          <w:p>
            <w:pPr>
              <w:pStyle w:val="TableContents"/>
              <w:bidi w:val="0"/>
              <w:spacing w:before="0" w:after="283"/>
              <w:jc w:val="left"/>
              <w:rPr/>
            </w:pPr>
            <w:r>
              <w:rPr/>
              <w:t>)</w:t>
            </w:r>
          </w:p>
        </w:tc>
      </w:tr>
      <w:tr>
        <w:trPr/>
        <w:tc>
          <w:tcPr>
            <w:tcW w:w="3470" w:type="dxa"/>
            <w:tcBorders/>
            <w:shd w:fill="FFFFFF" w:val="clear"/>
            <w:vAlign w:val="center"/>
          </w:tcPr>
          <w:p>
            <w:pPr>
              <w:pStyle w:val="TableContents"/>
              <w:bidi w:val="0"/>
              <w:spacing w:before="0" w:after="283"/>
              <w:jc w:val="left"/>
              <w:rPr/>
            </w:pPr>
            <w:r>
              <w:rPr/>
              <w:t>Total adjustments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right"/>
              <w:rPr/>
            </w:pPr>
            <w:r>
              <w:rPr/>
              <w:t>4,915</w:t>
            </w:r>
          </w:p>
        </w:tc>
        <w:tc>
          <w:tcPr>
            <w:tcW w:w="96"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right"/>
              <w:rPr/>
            </w:pPr>
            <w:r>
              <w:rPr/>
              <w:t>(5,565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8" w:type="dxa"/>
            <w:tcBorders>
              <w:bottom w:val="single" w:sz="8" w:space="0" w:color="000000"/>
            </w:tcBorders>
            <w:shd w:fill="FFFFFF" w:val="clear"/>
            <w:tcMar>
              <w:bottom w:w="28" w:type="dxa"/>
            </w:tcMar>
            <w:vAlign w:val="center"/>
          </w:tcPr>
          <w:p>
            <w:pPr>
              <w:pStyle w:val="TableContents"/>
              <w:bidi w:val="0"/>
              <w:spacing w:before="0" w:after="283"/>
              <w:jc w:val="right"/>
              <w:rPr/>
            </w:pPr>
            <w:r>
              <w:rPr/>
              <w:t>909</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8" w:space="0" w:color="000000"/>
            </w:tcBorders>
            <w:shd w:fill="FFFFFF" w:val="clear"/>
            <w:tcMar>
              <w:bottom w:w="28" w:type="dxa"/>
            </w:tcMar>
            <w:vAlign w:val="center"/>
          </w:tcPr>
          <w:p>
            <w:pPr>
              <w:pStyle w:val="TableContents"/>
              <w:bidi w:val="0"/>
              <w:spacing w:before="0" w:after="283"/>
              <w:jc w:val="right"/>
              <w:rPr/>
            </w:pPr>
            <w:r>
              <w:rPr/>
              <w:t>(8,858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pPr>
            <w:r>
              <w:rPr/>
              <w:t>(3,568</w:t>
            </w:r>
          </w:p>
        </w:tc>
        <w:tc>
          <w:tcPr>
            <w:tcW w:w="110" w:type="dxa"/>
            <w:tcBorders/>
            <w:shd w:fill="FFFFFF" w:val="clear"/>
            <w:vAlign w:val="center"/>
          </w:tcPr>
          <w:p>
            <w:pPr>
              <w:pStyle w:val="TableContents"/>
              <w:bidi w:val="0"/>
              <w:spacing w:before="0" w:after="283"/>
              <w:jc w:val="left"/>
              <w:rPr/>
            </w:pPr>
            <w:r>
              <w:rPr/>
              <w:t>)</w:t>
            </w:r>
          </w:p>
        </w:tc>
      </w:tr>
      <w:tr>
        <w:trPr/>
        <w:tc>
          <w:tcPr>
            <w:tcW w:w="347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(15,259</w:t>
            </w:r>
          </w:p>
        </w:tc>
        <w:tc>
          <w:tcPr>
            <w:tcW w:w="96" w:type="dxa"/>
            <w:tcBorders/>
            <w:shd w:fill="CCEEFF" w:val="clear"/>
            <w:vAlign w:val="center"/>
          </w:tcPr>
          <w:p>
            <w:pPr>
              <w:pStyle w:val="TableContents"/>
              <w:bidi w:val="0"/>
              <w:spacing w:before="0" w:after="283"/>
              <w:jc w:val="left"/>
              <w:rPr>
                <w:b/>
              </w:rPr>
            </w:pPr>
            <w:r>
              <w:rPr>
                <w:b/>
              </w:rPr>
              <w:t>)</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(8,479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(8,301</w:t>
            </w:r>
          </w:p>
        </w:tc>
        <w:tc>
          <w:tcPr>
            <w:tcW w:w="120"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(4,460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(20,311</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60"/>
        <w:jc w:val="left"/>
        <w:rPr>
          <w:bdr w:val="single" w:sz="16" w:space="1" w:color="000000"/>
        </w:rPr>
      </w:pPr>
      <w:bookmarkStart w:id="4" w:name="exhibit_99-2.htm"/>
      <w:bookmarkStart w:id="5" w:name="ksexhibit_992"/>
      <w:bookmarkEnd w:id="4"/>
      <w:bookmarkEnd w:id="5"/>
      <w:r>
        <w:rPr>
          <w:bdr w:val="single" w:sz="16" w:space="1" w:color="000000"/>
        </w:rPr>
        <w:t> </w:t>
      </w:r>
      <w:r>
        <w:br w:type="page"/>
      </w:r>
    </w:p>
    <w:p>
      <w:pPr>
        <w:pStyle w:val="TextBody"/>
        <w:bidi w:val="0"/>
        <w:jc w:val="right"/>
        <w:rPr/>
      </w:pPr>
      <w:r>
        <w:rPr>
          <w:rStyle w:val="StrongEmphasis"/>
          <w:rFonts w:ascii="Times New Roman;Times;serif" w:hAnsi="Times New Roman;Times;serif"/>
          <w:sz w:val="20"/>
          <w:u w:val="single"/>
        </w:rPr>
        <w:t>Exhibit 99.2</w:t>
      </w:r>
    </w:p>
    <w:p>
      <w:pPr>
        <w:pStyle w:val="TextBody"/>
        <w:bidi w:val="0"/>
        <w:spacing w:before="0" w:after="283"/>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MEDIWOUND LTD. AND ITS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CONDENSED INTERIM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AS OF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IN U.S. DOLLARS 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20"/>
        <w:gridCol w:w="885"/>
      </w:tblGrid>
      <w:tr>
        <w:trPr/>
        <w:tc>
          <w:tcPr>
            <w:tcW w:w="9320" w:type="dxa"/>
            <w:tcBorders/>
            <w:vAlign w:val="center"/>
          </w:tcPr>
          <w:p>
            <w:pPr>
              <w:pStyle w:val="TableContents"/>
              <w:bidi w:val="0"/>
              <w:spacing w:before="0" w:after="283"/>
              <w:jc w:val="left"/>
              <w:rPr/>
            </w:pPr>
            <w:r>
              <w:rPr/>
              <w:t> </w:t>
            </w:r>
          </w:p>
        </w:tc>
        <w:tc>
          <w:tcPr>
            <w:tcW w:w="885" w:type="dxa"/>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sz w:val="20"/>
              </w:rPr>
              <w:t>Page</w:t>
            </w:r>
          </w:p>
        </w:tc>
      </w:tr>
      <w:tr>
        <w:trPr/>
        <w:tc>
          <w:tcPr>
            <w:tcW w:w="932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center"/>
              <w:rPr/>
            </w:pPr>
            <w:r>
              <w:rPr/>
              <w:t> </w:t>
            </w:r>
          </w:p>
        </w:tc>
      </w:tr>
      <w:tr>
        <w:trPr/>
        <w:tc>
          <w:tcPr>
            <w:tcW w:w="932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center"/>
              <w:rPr/>
            </w:pPr>
            <w:r>
              <w:rPr/>
              <w:t> </w:t>
            </w:r>
          </w:p>
        </w:tc>
      </w:tr>
      <w:tr>
        <w:trPr/>
        <w:tc>
          <w:tcPr>
            <w:tcW w:w="9320" w:type="dxa"/>
            <w:tcBorders/>
            <w:vAlign w:val="center"/>
          </w:tcPr>
          <w:p>
            <w:pPr>
              <w:pStyle w:val="TableContents"/>
              <w:bidi w:val="0"/>
              <w:spacing w:before="0" w:after="283"/>
              <w:jc w:val="left"/>
              <w:rPr/>
            </w:pPr>
            <w:hyperlink w:anchor="Position">
              <w:r>
                <w:rPr>
                  <w:rStyle w:val="InternetLink"/>
                  <w:rFonts w:ascii="Times New Roman;Times;serif" w:hAnsi="Times New Roman;Times;serif"/>
                  <w:b/>
                  <w:b/>
                  <w:bCs/>
                  <w:sz w:val="20"/>
                </w:rPr>
                <w:t>Unaudited Condensed Interim Consolidated Statements of Financial Position</w:t>
              </w:r>
            </w:hyperlink>
          </w:p>
        </w:tc>
        <w:tc>
          <w:tcPr>
            <w:tcW w:w="885" w:type="dxa"/>
            <w:tcBorders/>
            <w:vAlign w:val="center"/>
          </w:tcPr>
          <w:p>
            <w:pPr>
              <w:pStyle w:val="TableContents"/>
              <w:bidi w:val="0"/>
              <w:spacing w:before="0" w:after="283"/>
              <w:jc w:val="center"/>
              <w:rPr/>
            </w:pPr>
            <w:r>
              <w:rPr>
                <w:rStyle w:val="StrongEmphasis"/>
                <w:rFonts w:ascii="Times New Roman;Times;serif" w:hAnsi="Times New Roman;Times;serif"/>
                <w:sz w:val="20"/>
              </w:rPr>
              <w:t>F-2</w:t>
            </w:r>
          </w:p>
        </w:tc>
      </w:tr>
      <w:tr>
        <w:trPr/>
        <w:tc>
          <w:tcPr>
            <w:tcW w:w="932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center"/>
              <w:rPr/>
            </w:pPr>
            <w:r>
              <w:rPr/>
              <w:t> </w:t>
            </w:r>
          </w:p>
        </w:tc>
      </w:tr>
      <w:tr>
        <w:trPr/>
        <w:tc>
          <w:tcPr>
            <w:tcW w:w="9320" w:type="dxa"/>
            <w:tcBorders/>
            <w:vAlign w:val="center"/>
          </w:tcPr>
          <w:p>
            <w:pPr>
              <w:pStyle w:val="TableContents"/>
              <w:bidi w:val="0"/>
              <w:spacing w:before="0" w:after="283"/>
              <w:jc w:val="left"/>
              <w:rPr/>
            </w:pPr>
            <w:hyperlink w:anchor="Comprehensive">
              <w:r>
                <w:rPr>
                  <w:rStyle w:val="InternetLink"/>
                  <w:rFonts w:ascii="Times New Roman;Times;serif" w:hAnsi="Times New Roman;Times;serif"/>
                  <w:b/>
                  <w:b/>
                  <w:bCs/>
                  <w:sz w:val="20"/>
                </w:rPr>
                <w:t>Unaudited Condensed Interim Consolidated Statements of Profit or Loss and Other Comprehensive Income or Loss</w:t>
              </w:r>
            </w:hyperlink>
          </w:p>
        </w:tc>
        <w:tc>
          <w:tcPr>
            <w:tcW w:w="885" w:type="dxa"/>
            <w:tcBorders/>
            <w:vAlign w:val="center"/>
          </w:tcPr>
          <w:p>
            <w:pPr>
              <w:pStyle w:val="TableContents"/>
              <w:bidi w:val="0"/>
              <w:spacing w:before="0" w:after="283"/>
              <w:jc w:val="center"/>
              <w:rPr/>
            </w:pPr>
            <w:r>
              <w:rPr>
                <w:rStyle w:val="StrongEmphasis"/>
                <w:rFonts w:ascii="Times New Roman;Times;serif" w:hAnsi="Times New Roman;Times;serif"/>
                <w:sz w:val="20"/>
              </w:rPr>
              <w:t xml:space="preserve">F-3 </w:t>
            </w:r>
          </w:p>
        </w:tc>
      </w:tr>
      <w:tr>
        <w:trPr/>
        <w:tc>
          <w:tcPr>
            <w:tcW w:w="932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center"/>
              <w:rPr/>
            </w:pPr>
            <w:r>
              <w:rPr/>
              <w:t> </w:t>
            </w:r>
          </w:p>
        </w:tc>
      </w:tr>
      <w:tr>
        <w:trPr/>
        <w:tc>
          <w:tcPr>
            <w:tcW w:w="9320" w:type="dxa"/>
            <w:tcBorders/>
            <w:vAlign w:val="center"/>
          </w:tcPr>
          <w:p>
            <w:pPr>
              <w:pStyle w:val="TableContents"/>
              <w:bidi w:val="0"/>
              <w:spacing w:before="0" w:after="283"/>
              <w:jc w:val="left"/>
              <w:rPr/>
            </w:pPr>
            <w:hyperlink w:anchor="Equity">
              <w:r>
                <w:rPr>
                  <w:rStyle w:val="InternetLink"/>
                  <w:rFonts w:ascii="Times New Roman;Times;serif" w:hAnsi="Times New Roman;Times;serif"/>
                  <w:b/>
                  <w:b/>
                  <w:bCs/>
                  <w:sz w:val="20"/>
                </w:rPr>
                <w:t>Unaudited Condensed Interim Consolidated Statements of Changes in Shareholders’ Equity</w:t>
              </w:r>
            </w:hyperlink>
          </w:p>
        </w:tc>
        <w:tc>
          <w:tcPr>
            <w:tcW w:w="885" w:type="dxa"/>
            <w:tcBorders/>
            <w:vAlign w:val="center"/>
          </w:tcPr>
          <w:p>
            <w:pPr>
              <w:pStyle w:val="TableContents"/>
              <w:bidi w:val="0"/>
              <w:spacing w:before="0" w:after="283"/>
              <w:jc w:val="center"/>
              <w:rPr/>
            </w:pPr>
            <w:r>
              <w:rPr>
                <w:rStyle w:val="StrongEmphasis"/>
                <w:rFonts w:ascii="Times New Roman;Times;serif" w:hAnsi="Times New Roman;Times;serif"/>
                <w:sz w:val="20"/>
              </w:rPr>
              <w:t>F-4 – F-5</w:t>
            </w:r>
          </w:p>
        </w:tc>
      </w:tr>
      <w:tr>
        <w:trPr/>
        <w:tc>
          <w:tcPr>
            <w:tcW w:w="932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center"/>
              <w:rPr/>
            </w:pPr>
            <w:r>
              <w:rPr/>
              <w:t> </w:t>
            </w:r>
          </w:p>
        </w:tc>
      </w:tr>
      <w:tr>
        <w:trPr/>
        <w:tc>
          <w:tcPr>
            <w:tcW w:w="9320" w:type="dxa"/>
            <w:tcBorders/>
            <w:vAlign w:val="center"/>
          </w:tcPr>
          <w:p>
            <w:pPr>
              <w:pStyle w:val="TableContents"/>
              <w:bidi w:val="0"/>
              <w:spacing w:before="0" w:after="283"/>
              <w:jc w:val="left"/>
              <w:rPr/>
            </w:pPr>
            <w:hyperlink w:anchor="Flows">
              <w:r>
                <w:rPr>
                  <w:rStyle w:val="InternetLink"/>
                  <w:rFonts w:ascii="Times New Roman;Times;serif" w:hAnsi="Times New Roman;Times;serif"/>
                  <w:b/>
                  <w:b/>
                  <w:bCs/>
                  <w:sz w:val="20"/>
                </w:rPr>
                <w:t>Unaudited Condensed Interim Consolidated Statements of Cash Flows</w:t>
              </w:r>
            </w:hyperlink>
          </w:p>
        </w:tc>
        <w:tc>
          <w:tcPr>
            <w:tcW w:w="885" w:type="dxa"/>
            <w:tcBorders/>
            <w:vAlign w:val="center"/>
          </w:tcPr>
          <w:p>
            <w:pPr>
              <w:pStyle w:val="TableContents"/>
              <w:bidi w:val="0"/>
              <w:spacing w:before="0" w:after="283"/>
              <w:jc w:val="center"/>
              <w:rPr/>
            </w:pPr>
            <w:r>
              <w:rPr>
                <w:rStyle w:val="StrongEmphasis"/>
                <w:rFonts w:ascii="Times New Roman;Times;serif" w:hAnsi="Times New Roman;Times;serif"/>
                <w:sz w:val="20"/>
              </w:rPr>
              <w:t>F-6 – F-7</w:t>
            </w:r>
          </w:p>
        </w:tc>
      </w:tr>
      <w:tr>
        <w:trPr/>
        <w:tc>
          <w:tcPr>
            <w:tcW w:w="932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center"/>
              <w:rPr/>
            </w:pPr>
            <w:r>
              <w:rPr/>
              <w:t> </w:t>
            </w:r>
          </w:p>
        </w:tc>
      </w:tr>
      <w:tr>
        <w:trPr/>
        <w:tc>
          <w:tcPr>
            <w:tcW w:w="9320" w:type="dxa"/>
            <w:tcBorders/>
            <w:vAlign w:val="center"/>
          </w:tcPr>
          <w:p>
            <w:pPr>
              <w:pStyle w:val="TableContents"/>
              <w:bidi w:val="0"/>
              <w:spacing w:before="0" w:after="283"/>
              <w:jc w:val="left"/>
              <w:rPr/>
            </w:pPr>
            <w:hyperlink w:anchor="Note">
              <w:r>
                <w:rPr>
                  <w:rStyle w:val="InternetLink"/>
                  <w:rFonts w:ascii="Times New Roman;Times;serif" w:hAnsi="Times New Roman;Times;serif"/>
                  <w:b/>
                  <w:b/>
                  <w:bCs/>
                  <w:sz w:val="20"/>
                </w:rPr>
                <w:t>Notes to Unaudited Condensed Interim Consolidated Financial Statements</w:t>
              </w:r>
            </w:hyperlink>
          </w:p>
        </w:tc>
        <w:tc>
          <w:tcPr>
            <w:tcW w:w="885" w:type="dxa"/>
            <w:tcBorders/>
            <w:vAlign w:val="center"/>
          </w:tcPr>
          <w:p>
            <w:pPr>
              <w:pStyle w:val="TableContents"/>
              <w:bidi w:val="0"/>
              <w:spacing w:before="0" w:after="283"/>
              <w:jc w:val="center"/>
              <w:rPr/>
            </w:pPr>
            <w:r>
              <w:rPr>
                <w:rStyle w:val="StrongEmphasis"/>
                <w:rFonts w:ascii="Times New Roman;Times;serif" w:hAnsi="Times New Roman;Times;serif"/>
                <w:sz w:val="20"/>
              </w:rPr>
              <w:t>F-8 – F-11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 - - - - - - - -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jc w:val="right"/>
        <w:rPr/>
      </w:pPr>
      <w:r>
        <w:rPr>
          <w:rStyle w:val="StrongEmphasis"/>
          <w:rFonts w:ascii="Times New Roman;Times;serif" w:hAnsi="Times New Roman;Times;serif"/>
          <w:sz w:val="20"/>
        </w:rPr>
        <w:t>MEDIWOUND LTD. AND ITS SUBSIDIARIES</w:t>
      </w:r>
    </w:p>
    <w:p>
      <w:pPr>
        <w:pStyle w:val="TextBody"/>
        <w:bidi w:val="0"/>
        <w:spacing w:before="0" w:after="0"/>
        <w:jc w:val="right"/>
        <w:rPr/>
      </w:pPr>
      <w:r>
        <w:rPr/>
        <w:t> </w:t>
      </w:r>
    </w:p>
    <w:p>
      <w:pPr>
        <w:pStyle w:val="TextBody"/>
        <w:pBdr>
          <w:bottom w:val="single" w:sz="12" w:space="1" w:color="000000"/>
        </w:pBdr>
        <w:bidi w:val="0"/>
        <w:spacing w:before="0" w:after="0"/>
        <w:ind w:left="0" w:right="0" w:hanging="0"/>
        <w:jc w:val="left"/>
        <w:rPr/>
      </w:pPr>
      <w:bookmarkStart w:id="6" w:name="Position"/>
      <w:bookmarkEnd w:id="6"/>
      <w:r>
        <w:rPr>
          <w:rStyle w:val="StrongEmphasis"/>
          <w:rFonts w:ascii="Times New Roman;Times;Serif" w:hAnsi="Times New Roman;Times;Serif"/>
          <w:b w:val="false"/>
          <w:i w:val="false"/>
          <w:caps w:val="false"/>
          <w:smallCaps w:val="false"/>
          <w:sz w:val="20"/>
        </w:rPr>
        <w:t>Unaudited Condensed Interim Consolidated Statements of Financial Position</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 xml:space="preserve">U.S. dollars in thousands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29"/>
        <w:gridCol w:w="60"/>
        <w:gridCol w:w="60"/>
        <w:gridCol w:w="875"/>
        <w:gridCol w:w="95"/>
        <w:gridCol w:w="60"/>
        <w:gridCol w:w="60"/>
        <w:gridCol w:w="875"/>
        <w:gridCol w:w="95"/>
        <w:gridCol w:w="60"/>
        <w:gridCol w:w="72"/>
        <w:gridCol w:w="1077"/>
        <w:gridCol w:w="87"/>
      </w:tblGrid>
      <w:tr>
        <w:trPr/>
        <w:tc>
          <w:tcPr>
            <w:tcW w:w="67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87" w:type="dxa"/>
            <w:tcBorders/>
            <w:vAlign w:val="center"/>
          </w:tcPr>
          <w:p>
            <w:pPr>
              <w:pStyle w:val="TableContents"/>
              <w:bidi w:val="0"/>
              <w:spacing w:before="0" w:after="283"/>
              <w:jc w:val="left"/>
              <w:rPr/>
            </w:pPr>
            <w:r>
              <w:rPr/>
              <w:t> </w:t>
            </w:r>
          </w:p>
        </w:tc>
      </w:tr>
      <w:tr>
        <w:trPr/>
        <w:tc>
          <w:tcPr>
            <w:tcW w:w="67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7" w:type="dxa"/>
            <w:tcBorders/>
            <w:vAlign w:val="center"/>
          </w:tcPr>
          <w:p>
            <w:pPr>
              <w:pStyle w:val="TableContents"/>
              <w:bidi w:val="0"/>
              <w:spacing w:before="0" w:after="283"/>
              <w:jc w:val="left"/>
              <w:rPr/>
            </w:pPr>
            <w:r>
              <w:rPr/>
              <w:t> </w:t>
            </w:r>
          </w:p>
        </w:tc>
      </w:tr>
      <w:tr>
        <w:trPr/>
        <w:tc>
          <w:tcPr>
            <w:tcW w:w="672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9" w:type="dxa"/>
            <w:gridSpan w:val="2"/>
            <w:tcBorders/>
            <w:vAlign w:val="center"/>
          </w:tcPr>
          <w:p>
            <w:pPr>
              <w:pStyle w:val="TableContents"/>
              <w:bidi w:val="0"/>
              <w:spacing w:before="0" w:after="283"/>
              <w:jc w:val="both"/>
              <w:rPr/>
            </w:pPr>
            <w:r>
              <w:rPr/>
              <w:t> </w:t>
            </w:r>
          </w:p>
        </w:tc>
        <w:tc>
          <w:tcPr>
            <w:tcW w:w="87" w:type="dxa"/>
            <w:tcBorders/>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4,344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4,799</w:t>
            </w:r>
          </w:p>
        </w:tc>
        <w:tc>
          <w:tcPr>
            <w:tcW w:w="87" w:type="dxa"/>
            <w:tcBorders/>
            <w:shd w:fill="CCEEFF" w:val="clear"/>
            <w:vAlign w:val="center"/>
          </w:tcPr>
          <w:p>
            <w:pPr>
              <w:pStyle w:val="TableContents"/>
              <w:bidi w:val="0"/>
              <w:spacing w:before="0" w:after="283"/>
              <w:ind w:left="0" w:right="0" w:hanging="227"/>
              <w:jc w:val="left"/>
              <w:rPr/>
            </w:pPr>
            <w:r>
              <w:rPr/>
              <w:t> </w:t>
            </w:r>
          </w:p>
        </w:tc>
      </w:tr>
      <w:tr>
        <w:trPr/>
        <w:tc>
          <w:tcPr>
            <w:tcW w:w="6729" w:type="dxa"/>
            <w:tcBorders/>
            <w:shd w:fill="FFFFFF" w:val="clear"/>
            <w:vAlign w:val="center"/>
          </w:tcPr>
          <w:p>
            <w:pPr>
              <w:pStyle w:val="TableContents"/>
              <w:bidi w:val="0"/>
              <w:spacing w:before="0" w:after="283"/>
              <w:jc w:val="both"/>
              <w:rPr/>
            </w:pPr>
            <w:r>
              <w:rPr/>
              <w:t>Short-term bank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30,997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48,341</w:t>
            </w:r>
          </w:p>
        </w:tc>
        <w:tc>
          <w:tcPr>
            <w:tcW w:w="87" w:type="dxa"/>
            <w:tcBorders/>
            <w:shd w:fill="FFFFFF" w:val="clear"/>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both"/>
              <w:rPr/>
            </w:pPr>
            <w:r>
              <w:rPr/>
              <w:t>Trade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1,621</w:t>
            </w:r>
          </w:p>
        </w:tc>
        <w:tc>
          <w:tcPr>
            <w:tcW w:w="87" w:type="dxa"/>
            <w:tcBorders/>
            <w:shd w:fill="CCEEFF" w:val="clear"/>
            <w:vAlign w:val="center"/>
          </w:tcPr>
          <w:p>
            <w:pPr>
              <w:pStyle w:val="TableContents"/>
              <w:bidi w:val="0"/>
              <w:spacing w:before="0" w:after="283"/>
              <w:ind w:left="0" w:right="0" w:hanging="227"/>
              <w:jc w:val="left"/>
              <w:rPr/>
            </w:pPr>
            <w:r>
              <w:rPr/>
              <w:t> </w:t>
            </w:r>
          </w:p>
        </w:tc>
      </w:tr>
      <w:tr>
        <w:trPr/>
        <w:tc>
          <w:tcPr>
            <w:tcW w:w="6729" w:type="dxa"/>
            <w:tcBorders/>
            <w:shd w:fill="FFFFFF" w:val="clear"/>
            <w:vAlign w:val="center"/>
          </w:tcPr>
          <w:p>
            <w:pPr>
              <w:pStyle w:val="TableContents"/>
              <w:bidi w:val="0"/>
              <w:spacing w:before="0" w:after="283"/>
              <w:jc w:val="both"/>
              <w:rPr/>
            </w:pPr>
            <w:r>
              <w:rPr/>
              <w:t>Inventories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4,117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3,843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4,093</w:t>
            </w:r>
          </w:p>
        </w:tc>
        <w:tc>
          <w:tcPr>
            <w:tcW w:w="87" w:type="dxa"/>
            <w:tcBorders/>
            <w:shd w:fill="FFFFFF" w:val="clear"/>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both"/>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1,110</w:t>
            </w:r>
          </w:p>
        </w:tc>
        <w:tc>
          <w:tcPr>
            <w:tcW w:w="87" w:type="dxa"/>
            <w:tcBorders/>
            <w:shd w:fill="CCEEFF" w:val="clear"/>
            <w:vAlign w:val="center"/>
          </w:tcPr>
          <w:p>
            <w:pPr>
              <w:pStyle w:val="TableContents"/>
              <w:bidi w:val="0"/>
              <w:spacing w:before="0" w:after="283"/>
              <w:ind w:left="0" w:right="0" w:hanging="227"/>
              <w:jc w:val="left"/>
              <w:rPr/>
            </w:pPr>
            <w:r>
              <w:rPr/>
              <w:t> </w:t>
            </w:r>
          </w:p>
        </w:tc>
      </w:tr>
      <w:tr>
        <w:trPr/>
        <w:tc>
          <w:tcPr>
            <w:tcW w:w="6729" w:type="dxa"/>
            <w:tcBorders/>
            <w:shd w:fill="FFFFFF" w:val="clear"/>
            <w:vAlign w:val="center"/>
          </w:tcPr>
          <w:p>
            <w:pPr>
              <w:pStyle w:val="TableContents"/>
              <w:bidi w:val="0"/>
              <w:spacing w:before="0" w:after="283"/>
              <w:jc w:val="both"/>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42,951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43,079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59,964</w:t>
            </w:r>
          </w:p>
        </w:tc>
        <w:tc>
          <w:tcPr>
            <w:tcW w:w="87" w:type="dxa"/>
            <w:tcBorders/>
            <w:shd w:fill="FFFFFF" w:val="clear"/>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227"/>
              <w:jc w:val="left"/>
              <w:rPr/>
            </w:pPr>
            <w:r>
              <w:rPr/>
              <w:t> </w:t>
            </w:r>
          </w:p>
        </w:tc>
      </w:tr>
      <w:tr>
        <w:trPr/>
        <w:tc>
          <w:tcPr>
            <w:tcW w:w="6729" w:type="dxa"/>
            <w:tcBorders/>
            <w:shd w:fill="FFFFFF" w:val="clear"/>
            <w:vAlign w:val="center"/>
          </w:tcPr>
          <w:p>
            <w:pPr>
              <w:pStyle w:val="TableContents"/>
              <w:bidi w:val="0"/>
              <w:spacing w:before="0" w:after="283"/>
              <w:jc w:val="both"/>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28</w:t>
            </w:r>
          </w:p>
        </w:tc>
        <w:tc>
          <w:tcPr>
            <w:tcW w:w="87" w:type="dxa"/>
            <w:tcBorders/>
            <w:shd w:fill="FFFFFF" w:val="clear"/>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both"/>
              <w:rPr/>
            </w:pPr>
            <w:r>
              <w:rPr/>
              <w:t>Long-term restricted bank deposits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439</w:t>
            </w:r>
          </w:p>
        </w:tc>
        <w:tc>
          <w:tcPr>
            <w:tcW w:w="87" w:type="dxa"/>
            <w:tcBorders/>
            <w:shd w:fill="CCEEFF" w:val="clear"/>
            <w:vAlign w:val="center"/>
          </w:tcPr>
          <w:p>
            <w:pPr>
              <w:pStyle w:val="TableContents"/>
              <w:bidi w:val="0"/>
              <w:spacing w:before="0" w:after="283"/>
              <w:ind w:left="0" w:right="0" w:hanging="227"/>
              <w:jc w:val="left"/>
              <w:rPr/>
            </w:pPr>
            <w:r>
              <w:rPr/>
              <w:t> </w:t>
            </w:r>
          </w:p>
        </w:tc>
      </w:tr>
      <w:tr>
        <w:trPr/>
        <w:tc>
          <w:tcPr>
            <w:tcW w:w="6729" w:type="dxa"/>
            <w:tcBorders/>
            <w:shd w:fill="FFFFFF" w:val="clear"/>
            <w:vAlign w:val="center"/>
          </w:tcPr>
          <w:p>
            <w:pPr>
              <w:pStyle w:val="TableContents"/>
              <w:bidi w:val="0"/>
              <w:spacing w:before="0" w:after="283"/>
              <w:jc w:val="both"/>
              <w:rPr/>
            </w:pPr>
            <w:r>
              <w:rPr/>
              <w:t>Property,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21,356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15,724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18,640</w:t>
            </w:r>
          </w:p>
        </w:tc>
        <w:tc>
          <w:tcPr>
            <w:tcW w:w="87" w:type="dxa"/>
            <w:tcBorders/>
            <w:shd w:fill="FFFFFF" w:val="clear"/>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both"/>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7,035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7,642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7,151</w:t>
            </w:r>
          </w:p>
        </w:tc>
        <w:tc>
          <w:tcPr>
            <w:tcW w:w="87" w:type="dxa"/>
            <w:tcBorders/>
            <w:shd w:fill="CCEEFF" w:val="clear"/>
            <w:vAlign w:val="center"/>
          </w:tcPr>
          <w:p>
            <w:pPr>
              <w:pStyle w:val="TableContents"/>
              <w:bidi w:val="0"/>
              <w:spacing w:before="0" w:after="283"/>
              <w:ind w:left="0" w:right="0" w:hanging="227"/>
              <w:jc w:val="left"/>
              <w:rPr/>
            </w:pPr>
            <w:r>
              <w:rPr/>
              <w:t> </w:t>
            </w:r>
          </w:p>
        </w:tc>
      </w:tr>
      <w:tr>
        <w:trPr/>
        <w:tc>
          <w:tcPr>
            <w:tcW w:w="6729" w:type="dxa"/>
            <w:tcBorders/>
            <w:shd w:fill="FFFFFF" w:val="clear"/>
            <w:vAlign w:val="center"/>
          </w:tcPr>
          <w:p>
            <w:pPr>
              <w:pStyle w:val="TableContents"/>
              <w:bidi w:val="0"/>
              <w:spacing w:before="0" w:after="283"/>
              <w:jc w:val="both"/>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33</w:t>
            </w:r>
          </w:p>
        </w:tc>
        <w:tc>
          <w:tcPr>
            <w:tcW w:w="87" w:type="dxa"/>
            <w:tcBorders/>
            <w:shd w:fill="FFFFFF" w:val="clear"/>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both"/>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23,922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26,291</w:t>
            </w:r>
          </w:p>
        </w:tc>
        <w:tc>
          <w:tcPr>
            <w:tcW w:w="87" w:type="dxa"/>
            <w:tcBorders/>
            <w:shd w:fill="CCEEFF" w:val="clear"/>
            <w:vAlign w:val="center"/>
          </w:tcPr>
          <w:p>
            <w:pPr>
              <w:pStyle w:val="TableContents"/>
              <w:bidi w:val="0"/>
              <w:spacing w:before="0" w:after="283"/>
              <w:ind w:left="0" w:right="0" w:hanging="227"/>
              <w:jc w:val="left"/>
              <w:rPr/>
            </w:pPr>
            <w:r>
              <w:rPr/>
              <w:t> </w:t>
            </w:r>
          </w:p>
        </w:tc>
      </w:tr>
      <w:tr>
        <w:trPr/>
        <w:tc>
          <w:tcPr>
            <w:tcW w:w="6729"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both"/>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71,879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67,001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double" w:sz="6" w:space="0" w:color="000000"/>
            </w:tcBorders>
            <w:shd w:fill="CCEEFF" w:val="clear"/>
            <w:tcMar>
              <w:bottom w:w="28" w:type="dxa"/>
            </w:tcMar>
            <w:vAlign w:val="center"/>
          </w:tcPr>
          <w:p>
            <w:pPr>
              <w:pStyle w:val="TableContents"/>
              <w:bidi w:val="0"/>
              <w:spacing w:before="0" w:after="283"/>
              <w:jc w:val="right"/>
              <w:rPr/>
            </w:pPr>
            <w:r>
              <w:rPr/>
              <w:t>86,255</w:t>
            </w:r>
          </w:p>
        </w:tc>
        <w:tc>
          <w:tcPr>
            <w:tcW w:w="87" w:type="dxa"/>
            <w:tcBorders/>
            <w:shd w:fill="CCEEFF" w:val="clear"/>
            <w:vAlign w:val="center"/>
          </w:tcPr>
          <w:p>
            <w:pPr>
              <w:pStyle w:val="TableContents"/>
              <w:bidi w:val="0"/>
              <w:spacing w:before="0" w:after="283"/>
              <w:ind w:left="0" w:right="0" w:hanging="227"/>
              <w:jc w:val="left"/>
              <w:rPr/>
            </w:pPr>
            <w:r>
              <w:rPr/>
              <w:t> </w:t>
            </w:r>
          </w:p>
        </w:tc>
      </w:tr>
      <w:tr>
        <w:trPr/>
        <w:tc>
          <w:tcPr>
            <w:tcW w:w="6729"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both"/>
              <w:rPr/>
            </w:pPr>
            <w:r>
              <w:rPr/>
              <w:t>Current maturities of long-term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870</w:t>
            </w:r>
          </w:p>
        </w:tc>
        <w:tc>
          <w:tcPr>
            <w:tcW w:w="87" w:type="dxa"/>
            <w:tcBorders/>
            <w:shd w:fill="CCEEFF" w:val="clear"/>
            <w:vAlign w:val="center"/>
          </w:tcPr>
          <w:p>
            <w:pPr>
              <w:pStyle w:val="TableContents"/>
              <w:bidi w:val="0"/>
              <w:spacing w:before="0" w:after="283"/>
              <w:ind w:left="0" w:right="0" w:hanging="227"/>
              <w:jc w:val="left"/>
              <w:rPr/>
            </w:pPr>
            <w:r>
              <w:rPr/>
              <w:t> </w:t>
            </w:r>
          </w:p>
        </w:tc>
      </w:tr>
      <w:tr>
        <w:trPr/>
        <w:tc>
          <w:tcPr>
            <w:tcW w:w="6729" w:type="dxa"/>
            <w:tcBorders/>
            <w:shd w:fill="FFFFFF" w:val="clear"/>
            <w:vAlign w:val="center"/>
          </w:tcPr>
          <w:p>
            <w:pPr>
              <w:pStyle w:val="TableContents"/>
              <w:bidi w:val="0"/>
              <w:spacing w:before="0" w:after="283"/>
              <w:jc w:val="both"/>
              <w:rPr/>
            </w:pPr>
            <w:r>
              <w:rPr/>
              <w:t>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4,736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12,659</w:t>
            </w:r>
          </w:p>
        </w:tc>
        <w:tc>
          <w:tcPr>
            <w:tcW w:w="87" w:type="dxa"/>
            <w:tcBorders/>
            <w:shd w:fill="FFFFFF" w:val="clear"/>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both"/>
              <w:rPr/>
            </w:pPr>
            <w:r>
              <w:rPr/>
              <w:t>Trade payables and accrued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7,626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7,648</w:t>
            </w:r>
          </w:p>
        </w:tc>
        <w:tc>
          <w:tcPr>
            <w:tcW w:w="87" w:type="dxa"/>
            <w:tcBorders/>
            <w:shd w:fill="CCEEFF" w:val="clear"/>
            <w:vAlign w:val="center"/>
          </w:tcPr>
          <w:p>
            <w:pPr>
              <w:pStyle w:val="TableContents"/>
              <w:bidi w:val="0"/>
              <w:spacing w:before="0" w:after="283"/>
              <w:ind w:left="0" w:right="0" w:hanging="227"/>
              <w:jc w:val="left"/>
              <w:rPr/>
            </w:pPr>
            <w:r>
              <w:rPr/>
              <w:t> </w:t>
            </w:r>
          </w:p>
        </w:tc>
      </w:tr>
      <w:tr>
        <w:trPr/>
        <w:tc>
          <w:tcPr>
            <w:tcW w:w="6729" w:type="dxa"/>
            <w:tcBorders/>
            <w:shd w:fill="FFFFFF" w:val="clear"/>
            <w:vAlign w:val="center"/>
          </w:tcPr>
          <w:p>
            <w:pPr>
              <w:pStyle w:val="TableContents"/>
              <w:bidi w:val="0"/>
              <w:spacing w:before="0" w:after="283"/>
              <w:jc w:val="both"/>
              <w:rPr/>
            </w:pPr>
            <w:r>
              <w:rPr/>
              <w:t>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4,531</w:t>
            </w:r>
          </w:p>
        </w:tc>
        <w:tc>
          <w:tcPr>
            <w:tcW w:w="87" w:type="dxa"/>
            <w:tcBorders/>
            <w:shd w:fill="FFFFFF" w:val="clear"/>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both"/>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29,071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25,708</w:t>
            </w:r>
          </w:p>
        </w:tc>
        <w:tc>
          <w:tcPr>
            <w:tcW w:w="87" w:type="dxa"/>
            <w:tcBorders/>
            <w:shd w:fill="CCEEFF" w:val="clear"/>
            <w:vAlign w:val="center"/>
          </w:tcPr>
          <w:p>
            <w:pPr>
              <w:pStyle w:val="TableContents"/>
              <w:bidi w:val="0"/>
              <w:spacing w:before="0" w:after="283"/>
              <w:ind w:left="0" w:right="0" w:hanging="227"/>
              <w:jc w:val="left"/>
              <w:rPr/>
            </w:pPr>
            <w:r>
              <w:rPr/>
              <w:t> </w:t>
            </w:r>
          </w:p>
        </w:tc>
      </w:tr>
      <w:tr>
        <w:trPr/>
        <w:tc>
          <w:tcPr>
            <w:tcW w:w="6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left"/>
              <w:rPr/>
            </w:pPr>
            <w:r>
              <w:rPr/>
              <w:t>Grants received in advance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227"/>
              <w:jc w:val="left"/>
              <w:rPr/>
            </w:pPr>
            <w:r>
              <w:rPr/>
              <w:t> </w:t>
            </w:r>
          </w:p>
        </w:tc>
      </w:tr>
      <w:tr>
        <w:trPr/>
        <w:tc>
          <w:tcPr>
            <w:tcW w:w="6729" w:type="dxa"/>
            <w:tcBorders/>
            <w:shd w:fill="FFFFFF" w:val="clear"/>
            <w:vAlign w:val="center"/>
          </w:tcPr>
          <w:p>
            <w:pPr>
              <w:pStyle w:val="TableContents"/>
              <w:bidi w:val="0"/>
              <w:spacing w:before="0" w:after="283"/>
              <w:jc w:val="left"/>
              <w:rPr/>
            </w:pPr>
            <w:r>
              <w:rPr/>
              <w:t>Liabilities in respect of IIA grants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8,784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8,504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8,291</w:t>
            </w:r>
          </w:p>
        </w:tc>
        <w:tc>
          <w:tcPr>
            <w:tcW w:w="87" w:type="dxa"/>
            <w:tcBorders/>
            <w:shd w:fill="FFFFFF" w:val="clear"/>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both"/>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8,605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8,070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8,152</w:t>
            </w:r>
          </w:p>
        </w:tc>
        <w:tc>
          <w:tcPr>
            <w:tcW w:w="87" w:type="dxa"/>
            <w:tcBorders/>
            <w:shd w:fill="CCEEFF" w:val="clear"/>
            <w:vAlign w:val="center"/>
          </w:tcPr>
          <w:p>
            <w:pPr>
              <w:pStyle w:val="TableContents"/>
              <w:bidi w:val="0"/>
              <w:spacing w:before="0" w:after="283"/>
              <w:ind w:left="0" w:right="0" w:hanging="227"/>
              <w:jc w:val="left"/>
              <w:rPr/>
            </w:pPr>
            <w:r>
              <w:rPr/>
              <w:t> </w:t>
            </w:r>
          </w:p>
        </w:tc>
      </w:tr>
      <w:tr>
        <w:trPr/>
        <w:tc>
          <w:tcPr>
            <w:tcW w:w="6729" w:type="dxa"/>
            <w:tcBorders/>
            <w:shd w:fill="FFFFFF" w:val="clear"/>
            <w:vAlign w:val="center"/>
          </w:tcPr>
          <w:p>
            <w:pPr>
              <w:pStyle w:val="TableContents"/>
              <w:bidi w:val="0"/>
              <w:spacing w:before="0" w:after="283"/>
              <w:jc w:val="both"/>
              <w:rPr/>
            </w:pPr>
            <w:r>
              <w:rPr/>
              <w:t>Severance pay liability,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472</w:t>
            </w:r>
          </w:p>
        </w:tc>
        <w:tc>
          <w:tcPr>
            <w:tcW w:w="87" w:type="dxa"/>
            <w:tcBorders/>
            <w:shd w:fill="FFFFFF" w:val="clear"/>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both"/>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17,811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16,915</w:t>
            </w:r>
          </w:p>
        </w:tc>
        <w:tc>
          <w:tcPr>
            <w:tcW w:w="87" w:type="dxa"/>
            <w:tcBorders/>
            <w:shd w:fill="CCEEFF" w:val="clear"/>
            <w:vAlign w:val="center"/>
          </w:tcPr>
          <w:p>
            <w:pPr>
              <w:pStyle w:val="TableContents"/>
              <w:bidi w:val="0"/>
              <w:spacing w:before="0" w:after="283"/>
              <w:ind w:left="0" w:right="0" w:hanging="227"/>
              <w:jc w:val="left"/>
              <w:rPr/>
            </w:pPr>
            <w:r>
              <w:rPr/>
              <w:t> </w:t>
            </w:r>
          </w:p>
        </w:tc>
      </w:tr>
      <w:tr>
        <w:trPr/>
        <w:tc>
          <w:tcPr>
            <w:tcW w:w="6729"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both"/>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36,235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46,882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42,623</w:t>
            </w:r>
          </w:p>
        </w:tc>
        <w:tc>
          <w:tcPr>
            <w:tcW w:w="87" w:type="dxa"/>
            <w:tcBorders/>
            <w:shd w:fill="CCEEFF" w:val="clear"/>
            <w:vAlign w:val="center"/>
          </w:tcPr>
          <w:p>
            <w:pPr>
              <w:pStyle w:val="TableContents"/>
              <w:bidi w:val="0"/>
              <w:spacing w:before="0" w:after="283"/>
              <w:ind w:left="0" w:right="0" w:hanging="227"/>
              <w:jc w:val="left"/>
              <w:rPr/>
            </w:pPr>
            <w:r>
              <w:rPr/>
              <w:t> </w:t>
            </w:r>
          </w:p>
        </w:tc>
      </w:tr>
      <w:tr>
        <w:trPr/>
        <w:tc>
          <w:tcPr>
            <w:tcW w:w="6729"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both"/>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227"/>
              <w:jc w:val="left"/>
              <w:rPr/>
            </w:pPr>
            <w:r>
              <w:rPr/>
              <w:t> </w:t>
            </w:r>
          </w:p>
        </w:tc>
      </w:tr>
      <w:tr>
        <w:trPr/>
        <w:tc>
          <w:tcPr>
            <w:tcW w:w="6729" w:type="dxa"/>
            <w:tcBorders/>
            <w:shd w:fill="FFFFFF" w:val="clear"/>
            <w:vAlign w:val="center"/>
          </w:tcPr>
          <w:p>
            <w:pPr>
              <w:pStyle w:val="TableContents"/>
              <w:bidi w:val="0"/>
              <w:spacing w:before="0" w:after="283"/>
              <w:jc w:val="both"/>
              <w:rPr/>
            </w:pPr>
            <w:r>
              <w:rPr/>
              <w:t>Ordinary shares of NIS 0.07 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left"/>
              <w:rPr/>
            </w:pPr>
            <w:r>
              <w:rPr/>
              <w:t>Authorized: 20,000,000 shares as of June 30, 2026; December 31, 2025 and June 30, 2025; Issued and Outstanding: 12,910,278 as of June 30, 2026; 12,835,185 as of December 31, 2025; and 10,875,631 as of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258</w:t>
            </w:r>
          </w:p>
        </w:tc>
        <w:tc>
          <w:tcPr>
            <w:tcW w:w="87" w:type="dxa"/>
            <w:tcBorders/>
            <w:shd w:fill="CCEEFF" w:val="clear"/>
            <w:vAlign w:val="center"/>
          </w:tcPr>
          <w:p>
            <w:pPr>
              <w:pStyle w:val="TableContents"/>
              <w:bidi w:val="0"/>
              <w:spacing w:before="0" w:after="283"/>
              <w:ind w:left="0" w:right="0" w:hanging="227"/>
              <w:jc w:val="left"/>
              <w:rPr/>
            </w:pPr>
            <w:r>
              <w:rPr/>
              <w:t> </w:t>
            </w:r>
          </w:p>
        </w:tc>
      </w:tr>
      <w:tr>
        <w:trPr/>
        <w:tc>
          <w:tcPr>
            <w:tcW w:w="6729" w:type="dxa"/>
            <w:tcBorders/>
            <w:shd w:fill="FFFFFF" w:val="clear"/>
            <w:vAlign w:val="center"/>
          </w:tcPr>
          <w:p>
            <w:pPr>
              <w:pStyle w:val="TableContents"/>
              <w:bidi w:val="0"/>
              <w:spacing w:before="0" w:after="283"/>
              <w:jc w:val="both"/>
              <w:rPr/>
            </w:pPr>
            <w:r>
              <w:rPr/>
              <w:t>Share premium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274,674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239,014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272,331</w:t>
            </w:r>
          </w:p>
        </w:tc>
        <w:tc>
          <w:tcPr>
            <w:tcW w:w="87" w:type="dxa"/>
            <w:tcBorders/>
            <w:shd w:fill="FFFFFF" w:val="clear"/>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both"/>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(32</w:t>
            </w:r>
          </w:p>
        </w:tc>
        <w:tc>
          <w:tcPr>
            <w:tcW w:w="87" w:type="dxa"/>
            <w:tcBorders/>
            <w:shd w:fill="CCEEFF" w:val="clear"/>
            <w:vAlign w:val="center"/>
          </w:tcPr>
          <w:p>
            <w:pPr>
              <w:pStyle w:val="TableContents"/>
              <w:bidi w:val="0"/>
              <w:spacing w:before="0" w:after="283"/>
              <w:ind w:left="0" w:right="0" w:hanging="227"/>
              <w:jc w:val="left"/>
              <w:rPr/>
            </w:pPr>
            <w:r>
              <w:rPr/>
              <w:t>)</w:t>
            </w:r>
          </w:p>
        </w:tc>
      </w:tr>
      <w:tr>
        <w:trPr/>
        <w:tc>
          <w:tcPr>
            <w:tcW w:w="6729" w:type="dxa"/>
            <w:tcBorders/>
            <w:shd w:fill="FFFFFF" w:val="clear"/>
            <w:vAlign w:val="center"/>
          </w:tcPr>
          <w:p>
            <w:pPr>
              <w:pStyle w:val="TableContents"/>
              <w:bidi w:val="0"/>
              <w:spacing w:before="0" w:after="283"/>
              <w:jc w:val="both"/>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(239,269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(219,090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(228,925</w:t>
            </w:r>
          </w:p>
        </w:tc>
        <w:tc>
          <w:tcPr>
            <w:tcW w:w="87" w:type="dxa"/>
            <w:tcBorders/>
            <w:shd w:fill="FFFFFF" w:val="clear"/>
            <w:vAlign w:val="center"/>
          </w:tcPr>
          <w:p>
            <w:pPr>
              <w:pStyle w:val="TableContents"/>
              <w:bidi w:val="0"/>
              <w:spacing w:before="0" w:after="283"/>
              <w:ind w:left="0" w:right="0" w:hanging="227"/>
              <w:jc w:val="left"/>
              <w:rPr/>
            </w:pPr>
            <w:r>
              <w:rPr/>
              <w:t>)</w:t>
            </w:r>
          </w:p>
        </w:tc>
      </w:tr>
      <w:tr>
        <w:trPr/>
        <w:tc>
          <w:tcPr>
            <w:tcW w:w="6729" w:type="dxa"/>
            <w:tcBorders/>
            <w:shd w:fill="CCEEFF" w:val="clear"/>
            <w:vAlign w:val="center"/>
          </w:tcPr>
          <w:p>
            <w:pPr>
              <w:pStyle w:val="TableContents"/>
              <w:bidi w:val="0"/>
              <w:spacing w:before="0" w:after="283"/>
              <w:jc w:val="both"/>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35,644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20,119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43,632</w:t>
            </w:r>
          </w:p>
        </w:tc>
        <w:tc>
          <w:tcPr>
            <w:tcW w:w="87" w:type="dxa"/>
            <w:tcBorders/>
            <w:shd w:fill="CCEEFF" w:val="clear"/>
            <w:vAlign w:val="center"/>
          </w:tcPr>
          <w:p>
            <w:pPr>
              <w:pStyle w:val="TableContents"/>
              <w:bidi w:val="0"/>
              <w:spacing w:before="0" w:after="283"/>
              <w:ind w:left="0" w:right="0" w:hanging="227"/>
              <w:jc w:val="left"/>
              <w:rPr/>
            </w:pPr>
            <w:r>
              <w:rPr/>
              <w:t> </w:t>
            </w:r>
          </w:p>
        </w:tc>
      </w:tr>
      <w:tr>
        <w:trPr/>
        <w:tc>
          <w:tcPr>
            <w:tcW w:w="6729"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227"/>
              <w:jc w:val="left"/>
              <w:rPr/>
            </w:pPr>
            <w:r>
              <w:rPr/>
              <w:t> </w:t>
            </w:r>
          </w:p>
        </w:tc>
      </w:tr>
      <w:tr>
        <w:trPr/>
        <w:tc>
          <w:tcPr>
            <w:tcW w:w="6729" w:type="dxa"/>
            <w:tcBorders/>
            <w:shd w:fill="CCEEFF" w:val="clear"/>
            <w:vAlign w:val="center"/>
          </w:tcPr>
          <w:p>
            <w:pPr>
              <w:pStyle w:val="TableContents"/>
              <w:bidi w:val="0"/>
              <w:spacing w:before="0" w:after="283"/>
              <w:jc w:val="both"/>
              <w:rPr>
                <w:b/>
              </w:rPr>
            </w:pPr>
            <w:r>
              <w:rPr>
                <w:b/>
              </w:rPr>
              <w:t>Total liabilities and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71,879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67,001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double" w:sz="6" w:space="0" w:color="000000"/>
            </w:tcBorders>
            <w:shd w:fill="CCEEFF" w:val="clear"/>
            <w:tcMar>
              <w:bottom w:w="28" w:type="dxa"/>
            </w:tcMar>
            <w:vAlign w:val="center"/>
          </w:tcPr>
          <w:p>
            <w:pPr>
              <w:pStyle w:val="TableContents"/>
              <w:bidi w:val="0"/>
              <w:spacing w:before="0" w:after="283"/>
              <w:jc w:val="right"/>
              <w:rPr/>
            </w:pPr>
            <w:r>
              <w:rPr/>
              <w:t>86,255</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interim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- 2 </w:t>
      </w:r>
    </w:p>
    <w:p>
      <w:pPr>
        <w:pStyle w:val="TextBody"/>
        <w:bidi w:val="0"/>
        <w:spacing w:before="0" w:after="0"/>
        <w:jc w:val="right"/>
        <w:rPr/>
      </w:pPr>
      <w:r>
        <w:rPr>
          <w:rStyle w:val="StrongEmphasis"/>
          <w:rFonts w:ascii="Times New Roman;Times;serif" w:hAnsi="Times New Roman;Times;serif"/>
          <w:sz w:val="20"/>
        </w:rPr>
        <w:t>MEDIWOUND LTD. AND ITS SUBSIDIARIES</w:t>
      </w:r>
    </w:p>
    <w:p>
      <w:pPr>
        <w:pStyle w:val="TextBody"/>
        <w:bidi w:val="0"/>
        <w:spacing w:before="0" w:after="0"/>
        <w:jc w:val="right"/>
        <w:rPr/>
      </w:pPr>
      <w:r>
        <w:rPr/>
        <w:t> </w:t>
      </w:r>
    </w:p>
    <w:p>
      <w:pPr>
        <w:pStyle w:val="TextBody"/>
        <w:pBdr>
          <w:bottom w:val="single" w:sz="12" w:space="1" w:color="000000"/>
        </w:pBdr>
        <w:bidi w:val="0"/>
        <w:spacing w:before="0" w:after="0"/>
        <w:ind w:left="0" w:right="0" w:hanging="0"/>
        <w:jc w:val="both"/>
        <w:rPr/>
      </w:pPr>
      <w:bookmarkStart w:id="7" w:name="Comprehensive"/>
      <w:bookmarkEnd w:id="7"/>
      <w:r>
        <w:rPr>
          <w:rStyle w:val="StrongEmphasis"/>
          <w:rFonts w:ascii="Times New Roman;Times;serif" w:hAnsi="Times New Roman;Times;serif"/>
          <w:b w:val="false"/>
          <w:i w:val="false"/>
          <w:caps w:val="false"/>
          <w:smallCaps w:val="false"/>
          <w:sz w:val="20"/>
        </w:rPr>
        <w:t>Unaudited Condensed Interim Consolidated Statements of Profit or Loss and Other Comprehensive Income or Loss</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U.S. dollars in thousands (except for share and per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87"/>
        <w:gridCol w:w="60"/>
        <w:gridCol w:w="60"/>
        <w:gridCol w:w="950"/>
        <w:gridCol w:w="80"/>
        <w:gridCol w:w="60"/>
        <w:gridCol w:w="60"/>
        <w:gridCol w:w="950"/>
        <w:gridCol w:w="80"/>
        <w:gridCol w:w="60"/>
        <w:gridCol w:w="60"/>
        <w:gridCol w:w="950"/>
        <w:gridCol w:w="80"/>
        <w:gridCol w:w="60"/>
        <w:gridCol w:w="60"/>
        <w:gridCol w:w="950"/>
        <w:gridCol w:w="80"/>
        <w:gridCol w:w="60"/>
        <w:gridCol w:w="104"/>
        <w:gridCol w:w="1664"/>
        <w:gridCol w:w="90"/>
      </w:tblGrid>
      <w:tr>
        <w:trPr/>
        <w:tc>
          <w:tcPr>
            <w:tcW w:w="368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160" w:type="dxa"/>
            <w:gridSpan w:val="6"/>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Six months ended</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0" w:type="dxa"/>
            <w:gridSpan w:val="6"/>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Three months ended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8"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0" w:type="dxa"/>
            <w:tcBorders/>
            <w:vAlign w:val="center"/>
          </w:tcPr>
          <w:p>
            <w:pPr>
              <w:pStyle w:val="TableContents"/>
              <w:bidi w:val="0"/>
              <w:spacing w:before="0" w:after="283"/>
              <w:jc w:val="left"/>
              <w:rPr/>
            </w:pPr>
            <w:r>
              <w:rPr/>
              <w:t> </w:t>
            </w:r>
          </w:p>
        </w:tc>
      </w:tr>
      <w:tr>
        <w:trPr/>
        <w:tc>
          <w:tcPr>
            <w:tcW w:w="368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0" w:type="dxa"/>
            <w:tcBorders/>
            <w:vAlign w:val="center"/>
          </w:tcPr>
          <w:p>
            <w:pPr>
              <w:pStyle w:val="TableContents"/>
              <w:bidi w:val="0"/>
              <w:spacing w:before="0" w:after="283"/>
              <w:ind w:left="0" w:right="0" w:hanging="227"/>
              <w:jc w:val="left"/>
              <w:rPr/>
            </w:pPr>
            <w:r>
              <w:rPr/>
              <w:t> </w:t>
            </w:r>
          </w:p>
        </w:tc>
      </w:tr>
      <w:tr>
        <w:trPr/>
        <w:tc>
          <w:tcPr>
            <w:tcW w:w="368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Revenues from sale of products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5,769</w:t>
            </w:r>
          </w:p>
        </w:tc>
        <w:tc>
          <w:tcPr>
            <w:tcW w:w="90" w:type="dxa"/>
            <w:tcBorders/>
            <w:shd w:fill="CCEEFF" w:val="clear"/>
            <w:vAlign w:val="center"/>
          </w:tcPr>
          <w:p>
            <w:pPr>
              <w:pStyle w:val="TableContents"/>
              <w:bidi w:val="0"/>
              <w:spacing w:before="0" w:after="283"/>
              <w:ind w:left="0" w:right="0" w:hanging="227"/>
              <w:jc w:val="left"/>
              <w:rPr/>
            </w:pPr>
            <w:r>
              <w:rPr/>
              <w:t> </w:t>
            </w:r>
          </w:p>
        </w:tc>
      </w:tr>
      <w:tr>
        <w:trPr/>
        <w:tc>
          <w:tcPr>
            <w:tcW w:w="368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Revenues from development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10,800</w:t>
            </w:r>
          </w:p>
        </w:tc>
        <w:tc>
          <w:tcPr>
            <w:tcW w:w="90" w:type="dxa"/>
            <w:tcBorders/>
            <w:shd w:fill="FFFFFF" w:val="clear"/>
            <w:vAlign w:val="center"/>
          </w:tcPr>
          <w:p>
            <w:pPr>
              <w:pStyle w:val="TableContents"/>
              <w:bidi w:val="0"/>
              <w:spacing w:before="0" w:after="283"/>
              <w:ind w:left="0" w:right="0" w:hanging="227"/>
              <w:jc w:val="left"/>
              <w:rPr/>
            </w:pPr>
            <w:r>
              <w:rPr/>
              <w:t> </w:t>
            </w:r>
          </w:p>
        </w:tc>
      </w:tr>
      <w:tr>
        <w:trPr/>
        <w:tc>
          <w:tcPr>
            <w:tcW w:w="368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Revenues from license agreements and royalties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w:t>
            </w:r>
          </w:p>
        </w:tc>
        <w:tc>
          <w:tcPr>
            <w:tcW w:w="90" w:type="dxa"/>
            <w:tcBorders/>
            <w:shd w:fill="CCEEFF" w:val="clear"/>
            <w:vAlign w:val="center"/>
          </w:tcPr>
          <w:p>
            <w:pPr>
              <w:pStyle w:val="TableContents"/>
              <w:bidi w:val="0"/>
              <w:spacing w:before="0" w:after="283"/>
              <w:ind w:left="0" w:right="0" w:hanging="227"/>
              <w:jc w:val="left"/>
              <w:rPr/>
            </w:pPr>
            <w:r>
              <w:rPr/>
              <w:t> </w:t>
            </w:r>
          </w:p>
        </w:tc>
      </w:tr>
      <w:tr>
        <w:trPr/>
        <w:tc>
          <w:tcPr>
            <w:tcW w:w="3687"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3,092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16,959</w:t>
            </w:r>
          </w:p>
        </w:tc>
        <w:tc>
          <w:tcPr>
            <w:tcW w:w="90" w:type="dxa"/>
            <w:tcBorders/>
            <w:shd w:fill="FFFFFF" w:val="clear"/>
            <w:vAlign w:val="center"/>
          </w:tcPr>
          <w:p>
            <w:pPr>
              <w:pStyle w:val="TableContents"/>
              <w:bidi w:val="0"/>
              <w:spacing w:before="0" w:after="283"/>
              <w:ind w:left="0" w:right="0" w:hanging="227"/>
              <w:jc w:val="left"/>
              <w:rPr/>
            </w:pPr>
            <w:r>
              <w:rPr/>
              <w:t> </w:t>
            </w:r>
          </w:p>
        </w:tc>
      </w:tr>
      <w:tr>
        <w:trPr/>
        <w:tc>
          <w:tcPr>
            <w:tcW w:w="368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227"/>
              <w:jc w:val="left"/>
              <w:rPr/>
            </w:pPr>
            <w:r>
              <w:rPr/>
              <w:t> </w:t>
            </w:r>
          </w:p>
        </w:tc>
      </w:tr>
      <w:tr>
        <w:trPr/>
        <w:tc>
          <w:tcPr>
            <w:tcW w:w="368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 of revenues from sale of products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2,414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4,727</w:t>
            </w:r>
          </w:p>
        </w:tc>
        <w:tc>
          <w:tcPr>
            <w:tcW w:w="90" w:type="dxa"/>
            <w:tcBorders/>
            <w:shd w:fill="FFFFFF" w:val="clear"/>
            <w:vAlign w:val="center"/>
          </w:tcPr>
          <w:p>
            <w:pPr>
              <w:pStyle w:val="TableContents"/>
              <w:bidi w:val="0"/>
              <w:spacing w:before="0" w:after="283"/>
              <w:ind w:left="0" w:right="0" w:hanging="227"/>
              <w:jc w:val="left"/>
              <w:rPr/>
            </w:pPr>
            <w:r>
              <w:rPr/>
              <w:t> </w:t>
            </w:r>
          </w:p>
        </w:tc>
      </w:tr>
      <w:tr>
        <w:trPr/>
        <w:tc>
          <w:tcPr>
            <w:tcW w:w="368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 of revenues from development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8,946</w:t>
            </w:r>
          </w:p>
        </w:tc>
        <w:tc>
          <w:tcPr>
            <w:tcW w:w="90" w:type="dxa"/>
            <w:tcBorders/>
            <w:shd w:fill="CCEEFF" w:val="clear"/>
            <w:vAlign w:val="center"/>
          </w:tcPr>
          <w:p>
            <w:pPr>
              <w:pStyle w:val="TableContents"/>
              <w:bidi w:val="0"/>
              <w:spacing w:before="0" w:after="283"/>
              <w:ind w:left="0" w:right="0" w:hanging="227"/>
              <w:jc w:val="left"/>
              <w:rPr/>
            </w:pPr>
            <w:r>
              <w:rPr/>
              <w:t> </w:t>
            </w:r>
          </w:p>
        </w:tc>
      </w:tr>
      <w:tr>
        <w:trPr/>
        <w:tc>
          <w:tcPr>
            <w:tcW w:w="368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 of revenues from license agreements and royalties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90" w:type="dxa"/>
            <w:tcBorders/>
            <w:shd w:fill="FFFFFF" w:val="clear"/>
            <w:vAlign w:val="center"/>
          </w:tcPr>
          <w:p>
            <w:pPr>
              <w:pStyle w:val="TableContents"/>
              <w:bidi w:val="0"/>
              <w:spacing w:before="0" w:after="283"/>
              <w:ind w:left="0" w:right="0" w:hanging="227"/>
              <w:jc w:val="left"/>
              <w:rPr/>
            </w:pPr>
            <w:r>
              <w:rPr/>
              <w:t> </w:t>
            </w:r>
          </w:p>
        </w:tc>
      </w:tr>
      <w:tr>
        <w:trPr/>
        <w:tc>
          <w:tcPr>
            <w:tcW w:w="3687"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3,907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13,705</w:t>
            </w:r>
          </w:p>
        </w:tc>
        <w:tc>
          <w:tcPr>
            <w:tcW w:w="90" w:type="dxa"/>
            <w:tcBorders/>
            <w:shd w:fill="CCEEFF" w:val="clear"/>
            <w:vAlign w:val="center"/>
          </w:tcPr>
          <w:p>
            <w:pPr>
              <w:pStyle w:val="TableContents"/>
              <w:bidi w:val="0"/>
              <w:spacing w:before="0" w:after="283"/>
              <w:ind w:left="0" w:right="0" w:hanging="227"/>
              <w:jc w:val="left"/>
              <w:rPr/>
            </w:pPr>
            <w:r>
              <w:rPr/>
              <w:t> </w:t>
            </w:r>
          </w:p>
        </w:tc>
      </w:tr>
      <w:tr>
        <w:trPr/>
        <w:tc>
          <w:tcPr>
            <w:tcW w:w="3687"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227"/>
              <w:jc w:val="left"/>
              <w:rPr/>
            </w:pPr>
            <w:r>
              <w:rPr/>
              <w:t> </w:t>
            </w:r>
          </w:p>
        </w:tc>
      </w:tr>
      <w:tr>
        <w:trPr/>
        <w:tc>
          <w:tcPr>
            <w:tcW w:w="3687"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3,254</w:t>
            </w:r>
          </w:p>
        </w:tc>
        <w:tc>
          <w:tcPr>
            <w:tcW w:w="90" w:type="dxa"/>
            <w:tcBorders/>
            <w:shd w:fill="CCEEFF" w:val="clear"/>
            <w:vAlign w:val="center"/>
          </w:tcPr>
          <w:p>
            <w:pPr>
              <w:pStyle w:val="TableContents"/>
              <w:bidi w:val="0"/>
              <w:spacing w:before="0" w:after="283"/>
              <w:ind w:left="0" w:right="0" w:hanging="227"/>
              <w:jc w:val="left"/>
              <w:rPr/>
            </w:pPr>
            <w:r>
              <w:rPr/>
              <w:t> </w:t>
            </w:r>
          </w:p>
        </w:tc>
      </w:tr>
      <w:tr>
        <w:trPr/>
        <w:tc>
          <w:tcPr>
            <w:tcW w:w="3687"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227"/>
              <w:jc w:val="left"/>
              <w:rPr/>
            </w:pPr>
            <w:r>
              <w:rPr/>
              <w:t> </w:t>
            </w:r>
          </w:p>
        </w:tc>
      </w:tr>
      <w:tr>
        <w:trPr/>
        <w:tc>
          <w:tcPr>
            <w:tcW w:w="368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11,086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5,901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14,320</w:t>
            </w:r>
          </w:p>
        </w:tc>
        <w:tc>
          <w:tcPr>
            <w:tcW w:w="90" w:type="dxa"/>
            <w:tcBorders/>
            <w:shd w:fill="CCEEFF" w:val="clear"/>
            <w:vAlign w:val="center"/>
          </w:tcPr>
          <w:p>
            <w:pPr>
              <w:pStyle w:val="TableContents"/>
              <w:bidi w:val="0"/>
              <w:spacing w:before="0" w:after="283"/>
              <w:ind w:left="0" w:right="0" w:hanging="227"/>
              <w:jc w:val="left"/>
              <w:rPr/>
            </w:pPr>
            <w:r>
              <w:rPr/>
              <w:t> </w:t>
            </w:r>
          </w:p>
        </w:tc>
      </w:tr>
      <w:tr>
        <w:trPr/>
        <w:tc>
          <w:tcPr>
            <w:tcW w:w="368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Selling and marketing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5,765</w:t>
            </w:r>
          </w:p>
        </w:tc>
        <w:tc>
          <w:tcPr>
            <w:tcW w:w="90" w:type="dxa"/>
            <w:tcBorders/>
            <w:shd w:fill="FFFFFF" w:val="clear"/>
            <w:vAlign w:val="center"/>
          </w:tcPr>
          <w:p>
            <w:pPr>
              <w:pStyle w:val="TableContents"/>
              <w:bidi w:val="0"/>
              <w:spacing w:before="0" w:after="283"/>
              <w:ind w:left="0" w:right="0" w:hanging="227"/>
              <w:jc w:val="left"/>
              <w:rPr/>
            </w:pPr>
            <w:r>
              <w:rPr/>
              <w:t> </w:t>
            </w:r>
          </w:p>
        </w:tc>
      </w:tr>
      <w:tr>
        <w:trPr/>
        <w:tc>
          <w:tcPr>
            <w:tcW w:w="368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4,602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8,448</w:t>
            </w:r>
          </w:p>
        </w:tc>
        <w:tc>
          <w:tcPr>
            <w:tcW w:w="90" w:type="dxa"/>
            <w:tcBorders/>
            <w:shd w:fill="CCEEFF" w:val="clear"/>
            <w:vAlign w:val="center"/>
          </w:tcPr>
          <w:p>
            <w:pPr>
              <w:pStyle w:val="TableContents"/>
              <w:bidi w:val="0"/>
              <w:spacing w:before="0" w:after="283"/>
              <w:ind w:left="0" w:right="0" w:hanging="227"/>
              <w:jc w:val="left"/>
              <w:rPr/>
            </w:pPr>
            <w:r>
              <w:rPr/>
              <w:t> </w:t>
            </w:r>
          </w:p>
        </w:tc>
      </w:tr>
      <w:tr>
        <w:trPr/>
        <w:tc>
          <w:tcPr>
            <w:tcW w:w="368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expenses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90" w:type="dxa"/>
            <w:tcBorders/>
            <w:shd w:fill="FFFFFF" w:val="clear"/>
            <w:vAlign w:val="center"/>
          </w:tcPr>
          <w:p>
            <w:pPr>
              <w:pStyle w:val="TableContents"/>
              <w:bidi w:val="0"/>
              <w:spacing w:before="0" w:after="283"/>
              <w:ind w:left="0" w:right="0" w:hanging="227"/>
              <w:jc w:val="left"/>
              <w:rPr>
                <w:rFonts w:ascii="Times New Roman;Times;serif" w:hAnsi="Times New Roman;Times;serif"/>
                <w:sz w:val="20"/>
              </w:rPr>
            </w:pPr>
            <w:r>
              <w:rPr>
                <w:rFonts w:ascii="Times New Roman;Times;serif" w:hAnsi="Times New Roman;Times;serif"/>
                <w:sz w:val="20"/>
              </w:rPr>
              <w:t>)</w:t>
            </w:r>
          </w:p>
        </w:tc>
      </w:tr>
      <w:tr>
        <w:trPr/>
        <w:tc>
          <w:tcPr>
            <w:tcW w:w="3687"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18,098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9,795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28,520</w:t>
            </w:r>
          </w:p>
        </w:tc>
        <w:tc>
          <w:tcPr>
            <w:tcW w:w="90" w:type="dxa"/>
            <w:tcBorders/>
            <w:shd w:fill="CCEEFF" w:val="clear"/>
            <w:vAlign w:val="center"/>
          </w:tcPr>
          <w:p>
            <w:pPr>
              <w:pStyle w:val="TableContents"/>
              <w:bidi w:val="0"/>
              <w:spacing w:before="0" w:after="283"/>
              <w:ind w:left="0" w:right="0" w:hanging="227"/>
              <w:jc w:val="left"/>
              <w:rPr/>
            </w:pPr>
            <w:r>
              <w:rPr/>
              <w:t> </w:t>
            </w:r>
          </w:p>
        </w:tc>
      </w:tr>
      <w:tr>
        <w:trPr/>
        <w:tc>
          <w:tcPr>
            <w:tcW w:w="3687"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227"/>
              <w:jc w:val="left"/>
              <w:rPr/>
            </w:pPr>
            <w:r>
              <w:rPr/>
              <w:t> </w:t>
            </w:r>
          </w:p>
        </w:tc>
      </w:tr>
      <w:tr>
        <w:trPr/>
        <w:tc>
          <w:tcPr>
            <w:tcW w:w="3687"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Operating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(17,438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(9,458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(25,266</w:t>
            </w:r>
          </w:p>
        </w:tc>
        <w:tc>
          <w:tcPr>
            <w:tcW w:w="90" w:type="dxa"/>
            <w:tcBorders/>
            <w:shd w:fill="CCEEFF" w:val="clear"/>
            <w:vAlign w:val="center"/>
          </w:tcPr>
          <w:p>
            <w:pPr>
              <w:pStyle w:val="TableContents"/>
              <w:bidi w:val="0"/>
              <w:spacing w:before="0" w:after="283"/>
              <w:ind w:left="0" w:right="0" w:hanging="227"/>
              <w:jc w:val="left"/>
              <w:rPr>
                <w:rFonts w:ascii="Times New Roman;Times;serif" w:hAnsi="Times New Roman;Times;serif"/>
                <w:sz w:val="20"/>
              </w:rPr>
            </w:pPr>
            <w:r>
              <w:rPr>
                <w:rFonts w:ascii="Times New Roman;Times;serif" w:hAnsi="Times New Roman;Times;serif"/>
                <w:sz w:val="20"/>
              </w:rPr>
              <w:t>)</w:t>
            </w:r>
          </w:p>
        </w:tc>
      </w:tr>
      <w:tr>
        <w:trPr/>
        <w:tc>
          <w:tcPr>
            <w:tcW w:w="3687"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227"/>
              <w:jc w:val="left"/>
              <w:rPr/>
            </w:pPr>
            <w:r>
              <w:rPr/>
              <w:t> </w:t>
            </w:r>
          </w:p>
        </w:tc>
      </w:tr>
      <w:tr>
        <w:trPr/>
        <w:tc>
          <w:tcPr>
            <w:tcW w:w="368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8,692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4,017</w:t>
            </w:r>
          </w:p>
        </w:tc>
        <w:tc>
          <w:tcPr>
            <w:tcW w:w="90" w:type="dxa"/>
            <w:tcBorders/>
            <w:shd w:fill="CCEEFF" w:val="clear"/>
            <w:vAlign w:val="center"/>
          </w:tcPr>
          <w:p>
            <w:pPr>
              <w:pStyle w:val="TableContents"/>
              <w:bidi w:val="0"/>
              <w:spacing w:before="0" w:after="283"/>
              <w:ind w:left="0" w:right="0" w:hanging="227"/>
              <w:jc w:val="left"/>
              <w:rPr/>
            </w:pPr>
            <w:r>
              <w:rPr/>
              <w:t> </w:t>
            </w:r>
          </w:p>
        </w:tc>
      </w:tr>
      <w:tr>
        <w:trPr/>
        <w:tc>
          <w:tcPr>
            <w:tcW w:w="368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(1,582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(1,121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(2,461</w:t>
            </w:r>
          </w:p>
        </w:tc>
        <w:tc>
          <w:tcPr>
            <w:tcW w:w="90" w:type="dxa"/>
            <w:tcBorders/>
            <w:shd w:fill="FFFFFF" w:val="clear"/>
            <w:vAlign w:val="center"/>
          </w:tcPr>
          <w:p>
            <w:pPr>
              <w:pStyle w:val="TableContents"/>
              <w:bidi w:val="0"/>
              <w:spacing w:before="0" w:after="283"/>
              <w:ind w:left="0" w:right="0" w:hanging="227"/>
              <w:jc w:val="left"/>
              <w:rPr>
                <w:rFonts w:ascii="Times New Roman;Times;serif" w:hAnsi="Times New Roman;Times;serif"/>
                <w:sz w:val="20"/>
              </w:rPr>
            </w:pPr>
            <w:r>
              <w:rPr>
                <w:rFonts w:ascii="Times New Roman;Times;serif" w:hAnsi="Times New Roman;Times;serif"/>
                <w:sz w:val="20"/>
              </w:rPr>
              <w:t>)</w:t>
            </w:r>
          </w:p>
        </w:tc>
      </w:tr>
      <w:tr>
        <w:trPr/>
        <w:tc>
          <w:tcPr>
            <w:tcW w:w="3687"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Financing income (expenses),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1,556</w:t>
            </w:r>
          </w:p>
        </w:tc>
        <w:tc>
          <w:tcPr>
            <w:tcW w:w="90" w:type="dxa"/>
            <w:tcBorders/>
            <w:shd w:fill="CCEEFF" w:val="clear"/>
            <w:vAlign w:val="center"/>
          </w:tcPr>
          <w:p>
            <w:pPr>
              <w:pStyle w:val="TableContents"/>
              <w:bidi w:val="0"/>
              <w:spacing w:before="0" w:after="283"/>
              <w:ind w:left="0" w:right="0" w:hanging="227"/>
              <w:jc w:val="left"/>
              <w:rPr/>
            </w:pPr>
            <w:r>
              <w:rPr/>
              <w:t> </w:t>
            </w:r>
          </w:p>
        </w:tc>
      </w:tr>
      <w:tr>
        <w:trPr/>
        <w:tc>
          <w:tcPr>
            <w:tcW w:w="3687"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227"/>
              <w:jc w:val="left"/>
              <w:rPr/>
            </w:pPr>
            <w:r>
              <w:rPr/>
              <w:t> </w:t>
            </w:r>
          </w:p>
        </w:tc>
      </w:tr>
      <w:tr>
        <w:trPr/>
        <w:tc>
          <w:tcPr>
            <w:tcW w:w="3687"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Loss before taxes on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(10,328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(7,359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(23,710</w:t>
            </w:r>
          </w:p>
        </w:tc>
        <w:tc>
          <w:tcPr>
            <w:tcW w:w="90" w:type="dxa"/>
            <w:tcBorders/>
            <w:shd w:fill="CCEEFF" w:val="clear"/>
            <w:vAlign w:val="center"/>
          </w:tcPr>
          <w:p>
            <w:pPr>
              <w:pStyle w:val="TableContents"/>
              <w:bidi w:val="0"/>
              <w:spacing w:before="0" w:after="283"/>
              <w:ind w:left="0" w:right="0" w:hanging="227"/>
              <w:jc w:val="left"/>
              <w:rPr>
                <w:rFonts w:ascii="Times New Roman;Times;serif" w:hAnsi="Times New Roman;Times;serif"/>
                <w:sz w:val="20"/>
              </w:rPr>
            </w:pPr>
            <w:r>
              <w:rPr>
                <w:rFonts w:ascii="Times New Roman;Times;serif" w:hAnsi="Times New Roman;Times;serif"/>
                <w:sz w:val="20"/>
              </w:rPr>
              <w:t>)</w:t>
            </w:r>
          </w:p>
        </w:tc>
      </w:tr>
      <w:tr>
        <w:trPr/>
        <w:tc>
          <w:tcPr>
            <w:tcW w:w="3687"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227"/>
              <w:jc w:val="left"/>
              <w:rPr/>
            </w:pPr>
            <w:r>
              <w:rPr/>
              <w:t> </w:t>
            </w:r>
          </w:p>
        </w:tc>
      </w:tr>
      <w:tr>
        <w:trPr/>
        <w:tc>
          <w:tcPr>
            <w:tcW w:w="368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Taxes on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w:t>
            </w:r>
          </w:p>
        </w:tc>
        <w:tc>
          <w:tcPr>
            <w:tcW w:w="90" w:type="dxa"/>
            <w:tcBorders/>
            <w:shd w:fill="CCEEFF" w:val="clear"/>
            <w:vAlign w:val="center"/>
          </w:tcPr>
          <w:p>
            <w:pPr>
              <w:pStyle w:val="TableContents"/>
              <w:bidi w:val="0"/>
              <w:spacing w:before="0" w:after="283"/>
              <w:ind w:left="0" w:right="0" w:hanging="227"/>
              <w:jc w:val="left"/>
              <w:rPr>
                <w:rFonts w:ascii="Times New Roman;Times;serif" w:hAnsi="Times New Roman;Times;serif"/>
                <w:sz w:val="20"/>
              </w:rPr>
            </w:pPr>
            <w:r>
              <w:rPr>
                <w:rFonts w:ascii="Times New Roman;Times;serif" w:hAnsi="Times New Roman;Times;serif"/>
                <w:sz w:val="20"/>
              </w:rPr>
              <w:t>)</w:t>
            </w:r>
          </w:p>
        </w:tc>
      </w:tr>
      <w:tr>
        <w:trPr/>
        <w:tc>
          <w:tcPr>
            <w:tcW w:w="3687"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200"/>
              <w:jc w:val="left"/>
              <w:rPr/>
            </w:pPr>
            <w:r>
              <w:rPr/>
              <w:t> </w:t>
            </w:r>
          </w:p>
        </w:tc>
      </w:tr>
      <w:tr>
        <w:trPr/>
        <w:tc>
          <w:tcPr>
            <w:tcW w:w="3687" w:type="dxa"/>
            <w:tcBorders/>
            <w:shd w:fill="CCEEFF" w:val="clear"/>
            <w:vAlign w:val="center"/>
          </w:tcPr>
          <w:p>
            <w:pPr>
              <w:pStyle w:val="TableContents"/>
              <w:bidi w:val="0"/>
              <w:spacing w:before="0" w:after="283"/>
              <w:jc w:val="both"/>
              <w:rPr/>
            </w:pPr>
            <w:r>
              <w:rPr/>
              <w:t> </w:t>
            </w:r>
            <w:r>
              <w:rPr>
                <w:rFonts w:ascii="Times New Roman;Times;serif" w:hAnsi="Times New Roman;Times;serif"/>
                <w:b/>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(10,344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(7,392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(23,879</w:t>
            </w:r>
          </w:p>
        </w:tc>
        <w:tc>
          <w:tcPr>
            <w:tcW w:w="90" w:type="dxa"/>
            <w:tcBorders/>
            <w:shd w:fill="CCEEFF" w:val="clear"/>
            <w:vAlign w:val="center"/>
          </w:tcPr>
          <w:p>
            <w:pPr>
              <w:pStyle w:val="TableContents"/>
              <w:bidi w:val="0"/>
              <w:spacing w:before="0" w:after="283"/>
              <w:ind w:left="0" w:right="0" w:hanging="227"/>
              <w:jc w:val="left"/>
              <w:rPr>
                <w:rFonts w:ascii="Times New Roman;Times;serif" w:hAnsi="Times New Roman;Times;serif"/>
                <w:sz w:val="20"/>
              </w:rPr>
            </w:pPr>
            <w:r>
              <w:rPr>
                <w:rFonts w:ascii="Times New Roman;Times;serif" w:hAnsi="Times New Roman;Times;serif"/>
                <w:sz w:val="20"/>
              </w:rPr>
              <w:t>)</w:t>
            </w:r>
          </w:p>
        </w:tc>
      </w:tr>
      <w:tr>
        <w:trPr/>
        <w:tc>
          <w:tcPr>
            <w:tcW w:w="3687"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227"/>
              <w:jc w:val="left"/>
              <w:rPr/>
            </w:pPr>
            <w:r>
              <w:rPr/>
              <w:t> </w:t>
            </w:r>
          </w:p>
        </w:tc>
      </w:tr>
      <w:tr>
        <w:trPr/>
        <w:tc>
          <w:tcPr>
            <w:tcW w:w="368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227"/>
              <w:jc w:val="left"/>
              <w:rPr/>
            </w:pPr>
            <w:r>
              <w:rPr/>
              <w:t> </w:t>
            </w:r>
          </w:p>
        </w:tc>
      </w:tr>
      <w:tr>
        <w:trPr/>
        <w:tc>
          <w:tcPr>
            <w:tcW w:w="368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90" w:type="dxa"/>
            <w:tcBorders/>
            <w:shd w:fill="FFFFFF" w:val="clear"/>
            <w:vAlign w:val="center"/>
          </w:tcPr>
          <w:p>
            <w:pPr>
              <w:pStyle w:val="TableContents"/>
              <w:bidi w:val="0"/>
              <w:spacing w:before="0" w:after="283"/>
              <w:ind w:left="0" w:right="0" w:hanging="227"/>
              <w:jc w:val="left"/>
              <w:rPr>
                <w:rFonts w:ascii="Times New Roman;Times;serif" w:hAnsi="Times New Roman;Times;serif"/>
                <w:sz w:val="20"/>
              </w:rPr>
            </w:pPr>
            <w:r>
              <w:rPr>
                <w:rFonts w:ascii="Times New Roman;Times;serif" w:hAnsi="Times New Roman;Times;serif"/>
                <w:sz w:val="20"/>
              </w:rPr>
              <w:t>)</w:t>
            </w:r>
          </w:p>
        </w:tc>
      </w:tr>
      <w:tr>
        <w:trPr/>
        <w:tc>
          <w:tcPr>
            <w:tcW w:w="368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227"/>
              <w:jc w:val="left"/>
              <w:rPr/>
            </w:pPr>
            <w:r>
              <w:rPr/>
              <w:t> </w:t>
            </w:r>
          </w:p>
        </w:tc>
      </w:tr>
      <w:tr>
        <w:trPr/>
        <w:tc>
          <w:tcPr>
            <w:tcW w:w="3687"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(10,333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(7,387</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(23,900</w:t>
            </w:r>
          </w:p>
        </w:tc>
        <w:tc>
          <w:tcPr>
            <w:tcW w:w="90" w:type="dxa"/>
            <w:tcBorders/>
            <w:shd w:fill="FFFFFF" w:val="clear"/>
            <w:vAlign w:val="center"/>
          </w:tcPr>
          <w:p>
            <w:pPr>
              <w:pStyle w:val="TableContents"/>
              <w:bidi w:val="0"/>
              <w:spacing w:before="0" w:after="283"/>
              <w:ind w:left="0" w:right="0" w:hanging="227"/>
              <w:jc w:val="left"/>
              <w:rPr>
                <w:rFonts w:ascii="Times New Roman;Times;serif" w:hAnsi="Times New Roman;Times;serif"/>
                <w:sz w:val="20"/>
              </w:rPr>
            </w:pPr>
            <w:r>
              <w:rPr>
                <w:rFonts w:ascii="Times New Roman;Times;serif" w:hAnsi="Times New Roman;Times;serif"/>
                <w:sz w:val="20"/>
              </w:rPr>
              <w:t>)</w:t>
            </w:r>
          </w:p>
        </w:tc>
      </w:tr>
      <w:tr>
        <w:trPr/>
        <w:tc>
          <w:tcPr>
            <w:tcW w:w="368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227"/>
              <w:jc w:val="left"/>
              <w:rPr/>
            </w:pPr>
            <w:r>
              <w:rPr/>
              <w:t> </w:t>
            </w:r>
          </w:p>
        </w:tc>
      </w:tr>
      <w:tr>
        <w:trPr/>
        <w:tc>
          <w:tcPr>
            <w:tcW w:w="3687"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Loss per share data: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227"/>
              <w:jc w:val="left"/>
              <w:rPr/>
            </w:pPr>
            <w:r>
              <w:rPr/>
              <w:t> </w:t>
            </w:r>
          </w:p>
        </w:tc>
      </w:tr>
      <w:tr>
        <w:trPr/>
        <w:tc>
          <w:tcPr>
            <w:tcW w:w="3687"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Basic net loss per share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(0.80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(0.57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w:t>
            </w:r>
          </w:p>
        </w:tc>
        <w:tc>
          <w:tcPr>
            <w:tcW w:w="90"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3687" w:type="dxa"/>
            <w:tcBorders/>
            <w:shd w:fill="FFFFFF" w:val="clear"/>
            <w:vAlign w:val="center"/>
          </w:tcPr>
          <w:p>
            <w:pPr>
              <w:pStyle w:val="TableContents"/>
              <w:bidi w:val="0"/>
              <w:spacing w:before="0" w:after="283"/>
              <w:jc w:val="both"/>
              <w:rPr/>
            </w:pPr>
            <w:r>
              <w:rPr/>
              <w:t> </w:t>
            </w:r>
            <w:r>
              <w:rPr>
                <w:rFonts w:ascii="Times New Roman;Times;serif" w:hAnsi="Times New Roman;Times;serif"/>
                <w:b/>
                <w:sz w:val="20"/>
              </w:rPr>
              <w:t>Diluted net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(0.77</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w:t>
            </w:r>
          </w:p>
        </w:tc>
        <w:tc>
          <w:tcPr>
            <w:tcW w:w="90" w:type="dxa"/>
            <w:tcBorders/>
            <w:shd w:fill="FFFFFF" w:val="clear"/>
            <w:vAlign w:val="center"/>
          </w:tcPr>
          <w:p>
            <w:pPr>
              <w:pStyle w:val="TableContents"/>
              <w:bidi w:val="0"/>
              <w:spacing w:before="0" w:after="283"/>
              <w:ind w:left="0" w:right="0" w:hanging="227"/>
              <w:jc w:val="left"/>
              <w:rPr>
                <w:rFonts w:ascii="Times New Roman;Times;serif" w:hAnsi="Times New Roman;Times;serif"/>
                <w:sz w:val="20"/>
              </w:rPr>
            </w:pPr>
            <w:r>
              <w:rPr>
                <w:rFonts w:ascii="Times New Roman;Times;serif" w:hAnsi="Times New Roman;Times;serif"/>
                <w:sz w:val="20"/>
              </w:rPr>
              <w:t>)</w:t>
            </w:r>
          </w:p>
        </w:tc>
      </w:tr>
      <w:tr>
        <w:trPr/>
        <w:tc>
          <w:tcPr>
            <w:tcW w:w="3687"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Number of shares used in calculating basic loss per share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12,861,870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10,816,990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12,883,835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10,835,251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11,376,571</w:t>
            </w:r>
          </w:p>
        </w:tc>
        <w:tc>
          <w:tcPr>
            <w:tcW w:w="90" w:type="dxa"/>
            <w:tcBorders/>
            <w:shd w:fill="CCEEFF" w:val="clear"/>
            <w:vAlign w:val="center"/>
          </w:tcPr>
          <w:p>
            <w:pPr>
              <w:pStyle w:val="TableContents"/>
              <w:bidi w:val="0"/>
              <w:spacing w:before="0" w:after="283"/>
              <w:ind w:left="0" w:right="0" w:hanging="227"/>
              <w:jc w:val="left"/>
              <w:rPr/>
            </w:pPr>
            <w:r>
              <w:rPr/>
              <w:t> </w:t>
            </w:r>
          </w:p>
        </w:tc>
      </w:tr>
      <w:tr>
        <w:trPr/>
        <w:tc>
          <w:tcPr>
            <w:tcW w:w="3687"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Number of shares used in calculating diluted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13,261,930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10,816,990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13,206,306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10,835,251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11,376,571</w:t>
            </w:r>
          </w:p>
        </w:tc>
        <w:tc>
          <w:tcPr>
            <w:tcW w:w="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The accompanying notes are an integral part of the interim consolidated financial statements.</w:t>
      </w:r>
      <w:r>
        <w:rPr>
          <w:rFonts w:ascii="Times New Roman;Times;Serif" w:hAnsi="Times New Roman;Times;Serif"/>
          <w:b w:val="false"/>
          <w:i w:val="false"/>
          <w:caps w:val="false"/>
          <w:smallCaps w:val="false"/>
          <w:sz w:val="20"/>
        </w:rPr>
        <w:br/>
      </w:r>
      <w:r>
        <w:rPr>
          <w:rStyle w:val="StrongEmphasis"/>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- 3 </w:t>
      </w:r>
    </w:p>
    <w:p>
      <w:pPr>
        <w:pStyle w:val="TextBody"/>
        <w:bidi w:val="0"/>
        <w:spacing w:before="0" w:after="0"/>
        <w:ind w:left="0" w:right="0" w:hanging="0"/>
        <w:jc w:val="right"/>
        <w:rPr/>
      </w:pPr>
      <w:r>
        <w:rPr>
          <w:rStyle w:val="StrongEmphasis"/>
          <w:rFonts w:ascii="Times New Roman;Times;serif" w:hAnsi="Times New Roman;Times;serif"/>
          <w:b w:val="false"/>
          <w:i w:val="false"/>
          <w:caps w:val="false"/>
          <w:smallCaps w:val="false"/>
          <w:sz w:val="20"/>
        </w:rPr>
        <w:t>MEDIWOUND LTD. AND ITS SUBSIDIARIES</w:t>
      </w:r>
    </w:p>
    <w:p>
      <w:pPr>
        <w:pStyle w:val="TextBody"/>
        <w:bidi w:val="0"/>
        <w:spacing w:before="0" w:after="0"/>
        <w:ind w:left="0" w:right="0" w:hanging="0"/>
        <w:jc w:val="right"/>
        <w:rPr>
          <w:caps w:val="false"/>
          <w:smallCaps w:val="false"/>
        </w:rPr>
      </w:pPr>
      <w:r>
        <w:rPr>
          <w:caps w:val="false"/>
          <w:smallCaps w:val="false"/>
        </w:rPr>
        <w:t> </w:t>
      </w:r>
    </w:p>
    <w:p>
      <w:pPr>
        <w:pStyle w:val="TextBody"/>
        <w:pBdr>
          <w:bottom w:val="single" w:sz="12" w:space="1" w:color="000000"/>
        </w:pBdr>
        <w:bidi w:val="0"/>
        <w:spacing w:before="0" w:after="0"/>
        <w:ind w:left="0" w:right="0" w:hanging="0"/>
        <w:jc w:val="both"/>
        <w:rPr/>
      </w:pPr>
      <w:bookmarkStart w:id="8" w:name="Equity"/>
      <w:bookmarkEnd w:id="8"/>
      <w:r>
        <w:rPr>
          <w:rStyle w:val="StrongEmphasis"/>
          <w:rFonts w:ascii="Times New Roman;Times;serif" w:hAnsi="Times New Roman;Times;serif"/>
          <w:b w:val="false"/>
          <w:i w:val="false"/>
          <w:caps w:val="false"/>
          <w:smallCaps w:val="false"/>
          <w:sz w:val="20"/>
        </w:rPr>
        <w:t xml:space="preserve">Unaudited Condensed Interim Consolidated Statements of Changes in Shareholders’ Equity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U.S. dollars in thousands </w:t>
      </w:r>
    </w:p>
    <w:p>
      <w:pPr>
        <w:pStyle w:val="TextBody"/>
        <w:bidi w:val="0"/>
        <w:spacing w:before="0" w:after="0"/>
        <w:ind w:left="0" w:right="0" w:firstLine="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3"/>
        <w:gridCol w:w="60"/>
        <w:gridCol w:w="152"/>
        <w:gridCol w:w="862"/>
        <w:gridCol w:w="60"/>
        <w:gridCol w:w="60"/>
        <w:gridCol w:w="94"/>
        <w:gridCol w:w="1115"/>
        <w:gridCol w:w="60"/>
        <w:gridCol w:w="60"/>
        <w:gridCol w:w="447"/>
        <w:gridCol w:w="2178"/>
        <w:gridCol w:w="80"/>
        <w:gridCol w:w="60"/>
        <w:gridCol w:w="80"/>
        <w:gridCol w:w="1020"/>
        <w:gridCol w:w="80"/>
        <w:gridCol w:w="60"/>
        <w:gridCol w:w="60"/>
        <w:gridCol w:w="650"/>
        <w:gridCol w:w="94"/>
      </w:tblGrid>
      <w:tr>
        <w:trPr/>
        <w:tc>
          <w:tcPr>
            <w:tcW w:w="28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 premium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Foreign currency translation reserve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Accumulated</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Total</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equity </w:t>
            </w:r>
          </w:p>
        </w:tc>
        <w:tc>
          <w:tcPr>
            <w:tcW w:w="94" w:type="dxa"/>
            <w:tcBorders/>
            <w:vAlign w:val="center"/>
          </w:tcPr>
          <w:p>
            <w:pPr>
              <w:pStyle w:val="TableContents"/>
              <w:bidi w:val="0"/>
              <w:spacing w:before="0" w:after="283"/>
              <w:ind w:left="0" w:right="0" w:hanging="200"/>
              <w:jc w:val="left"/>
              <w:rPr/>
            </w:pPr>
            <w:r>
              <w:rPr/>
              <w:t> </w:t>
            </w:r>
          </w:p>
        </w:tc>
      </w:tr>
      <w:tr>
        <w:trPr/>
        <w:tc>
          <w:tcPr>
            <w:tcW w:w="2873"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Balance as of April 1, 2026</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21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(231,877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41,424</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2873"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21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r>
      <w:tr>
        <w:trPr/>
        <w:tc>
          <w:tcPr>
            <w:tcW w:w="28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for the period</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2178"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(7,392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(7,392</w:t>
            </w:r>
          </w:p>
        </w:tc>
        <w:tc>
          <w:tcPr>
            <w:tcW w:w="94" w:type="dxa"/>
            <w:tcBorders/>
            <w:shd w:fill="CCEEFF" w:val="clear"/>
            <w:vAlign w:val="center"/>
          </w:tcPr>
          <w:p>
            <w:pPr>
              <w:pStyle w:val="TableContents"/>
              <w:bidi w:val="0"/>
              <w:spacing w:before="0" w:after="283"/>
              <w:ind w:left="0" w:right="0" w:hanging="200"/>
              <w:jc w:val="left"/>
              <w:rPr>
                <w:rFonts w:ascii="Times New Roman;Times;serif" w:hAnsi="Times New Roman;Times;serif"/>
                <w:b/>
                <w:sz w:val="20"/>
              </w:rPr>
            </w:pPr>
            <w:r>
              <w:rPr>
                <w:rFonts w:ascii="Times New Roman;Times;serif" w:hAnsi="Times New Roman;Times;serif"/>
                <w:b/>
                <w:sz w:val="20"/>
              </w:rPr>
              <w:t>)</w:t>
            </w:r>
          </w:p>
        </w:tc>
      </w:tr>
      <w:tr>
        <w:trPr/>
        <w:tc>
          <w:tcPr>
            <w:tcW w:w="287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28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comprehensive loss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2178"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(7,392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(7,387</w:t>
            </w:r>
          </w:p>
        </w:tc>
        <w:tc>
          <w:tcPr>
            <w:tcW w:w="94" w:type="dxa"/>
            <w:tcBorders/>
            <w:shd w:fill="CCEEFF" w:val="clear"/>
            <w:vAlign w:val="center"/>
          </w:tcPr>
          <w:p>
            <w:pPr>
              <w:pStyle w:val="TableContents"/>
              <w:bidi w:val="0"/>
              <w:spacing w:before="0" w:after="283"/>
              <w:ind w:left="0" w:right="0" w:hanging="200"/>
              <w:jc w:val="left"/>
              <w:rPr>
                <w:rFonts w:ascii="Times New Roman;Times;serif" w:hAnsi="Times New Roman;Times;serif"/>
                <w:b/>
                <w:sz w:val="20"/>
              </w:rPr>
            </w:pPr>
            <w:r>
              <w:rPr>
                <w:rFonts w:ascii="Times New Roman;Times;serif" w:hAnsi="Times New Roman;Times;serif"/>
                <w:b/>
                <w:sz w:val="20"/>
              </w:rPr>
              <w:t>)</w:t>
            </w:r>
          </w:p>
        </w:tc>
      </w:tr>
      <w:tr>
        <w:trPr/>
        <w:tc>
          <w:tcPr>
            <w:tcW w:w="287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options and warrants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2178"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852</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28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755</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28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21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28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June 30, 2026 (unaudited)</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274,674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1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(239,269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35,644</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28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21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2873"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Balance as of April 1, 2025</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236,839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21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(205,772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31,272</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2873"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21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r>
      <w:tr>
        <w:trPr/>
        <w:tc>
          <w:tcPr>
            <w:tcW w:w="287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for the period</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21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(13,318</w:t>
            </w:r>
          </w:p>
        </w:tc>
        <w:tc>
          <w:tcPr>
            <w:tcW w:w="94"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287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94"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287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comprehensive loss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21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(13,329</w:t>
            </w:r>
          </w:p>
        </w:tc>
        <w:tc>
          <w:tcPr>
            <w:tcW w:w="94"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287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of options and warrants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shd w:fill="FFFFFF" w:val="clear"/>
            <w:vAlign w:val="center"/>
          </w:tcPr>
          <w:p>
            <w:pPr>
              <w:pStyle w:val="TableContents"/>
              <w:bidi w:val="0"/>
              <w:spacing w:before="0" w:after="283"/>
              <w:jc w:val="left"/>
              <w:rPr/>
            </w:pPr>
            <w:r>
              <w:rPr/>
              <w:t> </w:t>
            </w:r>
          </w:p>
        </w:tc>
        <w:tc>
          <w:tcPr>
            <w:tcW w:w="21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1,314</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287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217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287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94" w:type="dxa"/>
            <w:tcBorders/>
            <w:shd w:fill="FFFFFF" w:val="clear"/>
            <w:vAlign w:val="center"/>
          </w:tcPr>
          <w:p>
            <w:pPr>
              <w:pStyle w:val="TableContents"/>
              <w:bidi w:val="0"/>
              <w:spacing w:before="0" w:after="283"/>
              <w:ind w:left="0" w:right="0" w:hanging="200"/>
              <w:jc w:val="left"/>
              <w:rPr/>
            </w:pPr>
            <w:r>
              <w:rPr/>
              <w:t> </w:t>
            </w:r>
          </w:p>
        </w:tc>
      </w:tr>
      <w:tr>
        <w:trPr/>
        <w:tc>
          <w:tcPr>
            <w:tcW w:w="287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217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ind w:left="0" w:right="0" w:hanging="200"/>
              <w:jc w:val="left"/>
              <w:rPr/>
            </w:pPr>
            <w:r>
              <w:rPr/>
              <w:t> </w:t>
            </w:r>
          </w:p>
        </w:tc>
      </w:tr>
      <w:tr>
        <w:trPr/>
        <w:tc>
          <w:tcPr>
            <w:tcW w:w="2873"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Balance as of June 30, 2025 (unaudited)</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1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(219,090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20,119</w:t>
            </w:r>
          </w:p>
        </w:tc>
        <w:tc>
          <w:tcPr>
            <w:tcW w:w="9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interim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- 4 </w:t>
      </w:r>
    </w:p>
    <w:p>
      <w:pPr>
        <w:pStyle w:val="TextBody"/>
        <w:bidi w:val="0"/>
        <w:spacing w:before="0" w:after="0"/>
        <w:ind w:left="0" w:right="0" w:hanging="0"/>
        <w:jc w:val="right"/>
        <w:rPr/>
      </w:pPr>
      <w:r>
        <w:rPr>
          <w:rStyle w:val="StrongEmphasis"/>
          <w:rFonts w:ascii="Times New Roman;Times;serif" w:hAnsi="Times New Roman;Times;serif"/>
          <w:b w:val="false"/>
          <w:i w:val="false"/>
          <w:caps w:val="false"/>
          <w:smallCaps w:val="false"/>
          <w:sz w:val="20"/>
        </w:rPr>
        <w:t>MEDIWOUND LTD. AND ITS SUBSIDIARIES</w:t>
      </w:r>
    </w:p>
    <w:p>
      <w:pPr>
        <w:pStyle w:val="TextBody"/>
        <w:bidi w:val="0"/>
        <w:spacing w:before="0" w:after="0"/>
        <w:ind w:left="0" w:right="0" w:hanging="0"/>
        <w:jc w:val="right"/>
        <w:rPr>
          <w:caps w:val="false"/>
          <w:smallCaps w:val="false"/>
        </w:rPr>
      </w:pPr>
      <w:r>
        <w:rPr>
          <w:caps w:val="false"/>
          <w:smallCaps w:val="false"/>
        </w:rPr>
        <w:t> </w:t>
      </w:r>
    </w:p>
    <w:p>
      <w:pPr>
        <w:pStyle w:val="TextBody"/>
        <w:pBdr>
          <w:bottom w:val="single" w:sz="12" w:space="1" w:color="000000"/>
        </w:pBdr>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 xml:space="preserve">Unaudited Condensed Interim Consolidated Statements of Changes in Shareholders’ Equity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U.S. dollars in thousands </w:t>
      </w:r>
    </w:p>
    <w:p>
      <w:pPr>
        <w:pStyle w:val="TextBody"/>
        <w:bidi w:val="0"/>
        <w:spacing w:before="0" w:after="0"/>
        <w:ind w:left="0" w:right="0" w:firstLine="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28"/>
        <w:gridCol w:w="60"/>
        <w:gridCol w:w="143"/>
        <w:gridCol w:w="812"/>
        <w:gridCol w:w="60"/>
        <w:gridCol w:w="60"/>
        <w:gridCol w:w="90"/>
        <w:gridCol w:w="1060"/>
        <w:gridCol w:w="60"/>
        <w:gridCol w:w="60"/>
        <w:gridCol w:w="406"/>
        <w:gridCol w:w="1978"/>
        <w:gridCol w:w="80"/>
        <w:gridCol w:w="60"/>
        <w:gridCol w:w="80"/>
        <w:gridCol w:w="1020"/>
        <w:gridCol w:w="80"/>
        <w:gridCol w:w="60"/>
        <w:gridCol w:w="60"/>
        <w:gridCol w:w="650"/>
        <w:gridCol w:w="98"/>
      </w:tblGrid>
      <w:tr>
        <w:trPr/>
        <w:tc>
          <w:tcPr>
            <w:tcW w:w="32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 premium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Foreign currency translation reserve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Accumulated</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Total</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equity</w:t>
            </w:r>
          </w:p>
        </w:tc>
        <w:tc>
          <w:tcPr>
            <w:tcW w:w="98" w:type="dxa"/>
            <w:tcBorders/>
            <w:vAlign w:val="center"/>
          </w:tcPr>
          <w:p>
            <w:pPr>
              <w:pStyle w:val="TableContents"/>
              <w:bidi w:val="0"/>
              <w:spacing w:before="0" w:after="283"/>
              <w:jc w:val="left"/>
              <w:rPr/>
            </w:pPr>
            <w:r>
              <w:rPr/>
              <w:t> </w:t>
            </w:r>
          </w:p>
        </w:tc>
      </w:tr>
      <w:tr>
        <w:trPr/>
        <w:tc>
          <w:tcPr>
            <w:tcW w:w="322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December 31, 2025 (audited)</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9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(228,925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43,632</w:t>
            </w:r>
          </w:p>
        </w:tc>
        <w:tc>
          <w:tcPr>
            <w:tcW w:w="98" w:type="dxa"/>
            <w:tcBorders/>
            <w:shd w:fill="CCEEFF" w:val="clear"/>
            <w:vAlign w:val="center"/>
          </w:tcPr>
          <w:p>
            <w:pPr>
              <w:pStyle w:val="TableContents"/>
              <w:bidi w:val="0"/>
              <w:spacing w:before="0" w:after="283"/>
              <w:jc w:val="left"/>
              <w:rPr/>
            </w:pPr>
            <w:r>
              <w:rPr/>
              <w:t> </w:t>
            </w:r>
          </w:p>
        </w:tc>
      </w:tr>
      <w:tr>
        <w:trPr/>
        <w:tc>
          <w:tcPr>
            <w:tcW w:w="32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for the period</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978"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(10,344</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(10,344</w:t>
            </w:r>
          </w:p>
        </w:tc>
        <w:tc>
          <w:tcPr>
            <w:tcW w:w="98"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32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w:t>
            </w:r>
          </w:p>
        </w:tc>
        <w:tc>
          <w:tcPr>
            <w:tcW w:w="98" w:type="dxa"/>
            <w:tcBorders/>
            <w:shd w:fill="CCEEFF" w:val="clear"/>
            <w:vAlign w:val="center"/>
          </w:tcPr>
          <w:p>
            <w:pPr>
              <w:pStyle w:val="TableContents"/>
              <w:bidi w:val="0"/>
              <w:spacing w:before="0" w:after="283"/>
              <w:jc w:val="left"/>
              <w:rPr/>
            </w:pPr>
            <w:r>
              <w:rPr/>
              <w:t> </w:t>
            </w:r>
          </w:p>
        </w:tc>
      </w:tr>
      <w:tr>
        <w:trPr/>
        <w:tc>
          <w:tcPr>
            <w:tcW w:w="32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comprehensive loss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978"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(10,344</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(10,333</w:t>
            </w:r>
          </w:p>
        </w:tc>
        <w:tc>
          <w:tcPr>
            <w:tcW w:w="98"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32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options and warrants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978"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946</w:t>
            </w:r>
          </w:p>
        </w:tc>
        <w:tc>
          <w:tcPr>
            <w:tcW w:w="98" w:type="dxa"/>
            <w:tcBorders/>
            <w:shd w:fill="CCEEFF" w:val="clear"/>
            <w:vAlign w:val="center"/>
          </w:tcPr>
          <w:p>
            <w:pPr>
              <w:pStyle w:val="TableContents"/>
              <w:bidi w:val="0"/>
              <w:spacing w:before="0" w:after="283"/>
              <w:jc w:val="left"/>
              <w:rPr/>
            </w:pPr>
            <w:r>
              <w:rPr/>
              <w:t> </w:t>
            </w:r>
          </w:p>
        </w:tc>
      </w:tr>
      <w:tr>
        <w:trPr/>
        <w:tc>
          <w:tcPr>
            <w:tcW w:w="32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1,399</w:t>
            </w:r>
          </w:p>
        </w:tc>
        <w:tc>
          <w:tcPr>
            <w:tcW w:w="98" w:type="dxa"/>
            <w:tcBorders/>
            <w:shd w:fill="FFFFFF" w:val="clear"/>
            <w:vAlign w:val="center"/>
          </w:tcPr>
          <w:p>
            <w:pPr>
              <w:pStyle w:val="TableContents"/>
              <w:bidi w:val="0"/>
              <w:spacing w:before="0" w:after="283"/>
              <w:jc w:val="left"/>
              <w:rPr/>
            </w:pPr>
            <w:r>
              <w:rPr/>
              <w:t> </w:t>
            </w:r>
          </w:p>
        </w:tc>
      </w:tr>
      <w:tr>
        <w:trPr/>
        <w:tc>
          <w:tcPr>
            <w:tcW w:w="322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June 30, 2026 (unaudited)</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274,674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(239,269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35,644</w:t>
            </w:r>
          </w:p>
        </w:tc>
        <w:tc>
          <w:tcPr>
            <w:tcW w:w="98" w:type="dxa"/>
            <w:tcBorders/>
            <w:shd w:fill="CCEEFF" w:val="clear"/>
            <w:vAlign w:val="center"/>
          </w:tcPr>
          <w:p>
            <w:pPr>
              <w:pStyle w:val="TableContents"/>
              <w:bidi w:val="0"/>
              <w:spacing w:before="0" w:after="283"/>
              <w:jc w:val="left"/>
              <w:rPr/>
            </w:pPr>
            <w:r>
              <w:rPr/>
              <w:t> </w:t>
            </w:r>
          </w:p>
        </w:tc>
      </w:tr>
      <w:tr>
        <w:trPr/>
        <w:tc>
          <w:tcPr>
            <w:tcW w:w="32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9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22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December 31, 2024 (audited)</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9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(205,046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31,153</w:t>
            </w:r>
          </w:p>
        </w:tc>
        <w:tc>
          <w:tcPr>
            <w:tcW w:w="98" w:type="dxa"/>
            <w:tcBorders/>
            <w:shd w:fill="CCEEFF" w:val="clear"/>
            <w:vAlign w:val="center"/>
          </w:tcPr>
          <w:p>
            <w:pPr>
              <w:pStyle w:val="TableContents"/>
              <w:bidi w:val="0"/>
              <w:spacing w:before="0" w:after="283"/>
              <w:jc w:val="left"/>
              <w:rPr/>
            </w:pPr>
            <w:r>
              <w:rPr/>
              <w:t> </w:t>
            </w:r>
          </w:p>
        </w:tc>
      </w:tr>
      <w:tr>
        <w:trPr/>
        <w:tc>
          <w:tcPr>
            <w:tcW w:w="322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for the period</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9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(14,044</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2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2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comprehensive loss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9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(14,054</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2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of options and warrants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9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1,314</w:t>
            </w:r>
          </w:p>
        </w:tc>
        <w:tc>
          <w:tcPr>
            <w:tcW w:w="98" w:type="dxa"/>
            <w:tcBorders/>
            <w:shd w:fill="CCEEFF" w:val="clear"/>
            <w:vAlign w:val="center"/>
          </w:tcPr>
          <w:p>
            <w:pPr>
              <w:pStyle w:val="TableContents"/>
              <w:bidi w:val="0"/>
              <w:spacing w:before="0" w:after="283"/>
              <w:jc w:val="left"/>
              <w:rPr/>
            </w:pPr>
            <w:r>
              <w:rPr/>
              <w:t> </w:t>
            </w:r>
          </w:p>
        </w:tc>
      </w:tr>
      <w:tr>
        <w:trPr/>
        <w:tc>
          <w:tcPr>
            <w:tcW w:w="322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1,706</w:t>
            </w:r>
          </w:p>
        </w:tc>
        <w:tc>
          <w:tcPr>
            <w:tcW w:w="98" w:type="dxa"/>
            <w:tcBorders/>
            <w:shd w:fill="FFFFFF" w:val="clear"/>
            <w:vAlign w:val="center"/>
          </w:tcPr>
          <w:p>
            <w:pPr>
              <w:pStyle w:val="TableContents"/>
              <w:bidi w:val="0"/>
              <w:spacing w:before="0" w:after="283"/>
              <w:jc w:val="left"/>
              <w:rPr/>
            </w:pPr>
            <w:r>
              <w:rPr/>
              <w:t> </w:t>
            </w:r>
          </w:p>
        </w:tc>
      </w:tr>
      <w:tr>
        <w:trPr/>
        <w:tc>
          <w:tcPr>
            <w:tcW w:w="322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June 30, 2025 (unaudited)</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(219,090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20,119</w:t>
            </w:r>
          </w:p>
        </w:tc>
        <w:tc>
          <w:tcPr>
            <w:tcW w:w="98" w:type="dxa"/>
            <w:tcBorders/>
            <w:shd w:fill="CCEEFF" w:val="clear"/>
            <w:vAlign w:val="center"/>
          </w:tcPr>
          <w:p>
            <w:pPr>
              <w:pStyle w:val="TableContents"/>
              <w:bidi w:val="0"/>
              <w:spacing w:before="0" w:after="283"/>
              <w:jc w:val="left"/>
              <w:rPr/>
            </w:pPr>
            <w:r>
              <w:rPr/>
              <w:t> </w:t>
            </w:r>
          </w:p>
        </w:tc>
      </w:tr>
      <w:tr>
        <w:trPr/>
        <w:tc>
          <w:tcPr>
            <w:tcW w:w="32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9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22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December 31, 2024 (audited)</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235,995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(205,046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31,153</w:t>
            </w:r>
          </w:p>
        </w:tc>
        <w:tc>
          <w:tcPr>
            <w:tcW w:w="98" w:type="dxa"/>
            <w:tcBorders/>
            <w:shd w:fill="CCEEFF" w:val="clear"/>
            <w:vAlign w:val="center"/>
          </w:tcPr>
          <w:p>
            <w:pPr>
              <w:pStyle w:val="TableContents"/>
              <w:bidi w:val="0"/>
              <w:spacing w:before="0" w:after="283"/>
              <w:jc w:val="left"/>
              <w:rPr/>
            </w:pPr>
            <w:r>
              <w:rPr/>
              <w:t> </w:t>
            </w:r>
          </w:p>
        </w:tc>
      </w:tr>
      <w:tr>
        <w:trPr/>
        <w:tc>
          <w:tcPr>
            <w:tcW w:w="322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for the period</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978"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(23,879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(23,879</w:t>
            </w:r>
          </w:p>
        </w:tc>
        <w:tc>
          <w:tcPr>
            <w:tcW w:w="98"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322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w:t>
            </w:r>
          </w:p>
        </w:tc>
        <w:tc>
          <w:tcPr>
            <w:tcW w:w="9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322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comprehensive loss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978"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(23,879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(23,900</w:t>
            </w:r>
          </w:p>
        </w:tc>
        <w:tc>
          <w:tcPr>
            <w:tcW w:w="98"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322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of options and warrants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978"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5,905</w:t>
            </w:r>
          </w:p>
        </w:tc>
        <w:tc>
          <w:tcPr>
            <w:tcW w:w="98" w:type="dxa"/>
            <w:tcBorders/>
            <w:shd w:fill="CCEEFF" w:val="clear"/>
            <w:vAlign w:val="center"/>
          </w:tcPr>
          <w:p>
            <w:pPr>
              <w:pStyle w:val="TableContents"/>
              <w:bidi w:val="0"/>
              <w:spacing w:before="0" w:after="283"/>
              <w:jc w:val="left"/>
              <w:rPr/>
            </w:pPr>
            <w:r>
              <w:rPr/>
              <w:t> </w:t>
            </w:r>
          </w:p>
        </w:tc>
      </w:tr>
      <w:tr>
        <w:trPr/>
        <w:tc>
          <w:tcPr>
            <w:tcW w:w="322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of ordinary shares, net of issuance expenses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978"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27,366</w:t>
            </w:r>
          </w:p>
        </w:tc>
        <w:tc>
          <w:tcPr>
            <w:tcW w:w="98" w:type="dxa"/>
            <w:tcBorders/>
            <w:shd w:fill="FFFFFF" w:val="clear"/>
            <w:vAlign w:val="center"/>
          </w:tcPr>
          <w:p>
            <w:pPr>
              <w:pStyle w:val="TableContents"/>
              <w:bidi w:val="0"/>
              <w:spacing w:before="0" w:after="283"/>
              <w:jc w:val="left"/>
              <w:rPr/>
            </w:pPr>
            <w:r>
              <w:rPr/>
              <w:t> </w:t>
            </w:r>
          </w:p>
        </w:tc>
      </w:tr>
      <w:tr>
        <w:trPr/>
        <w:tc>
          <w:tcPr>
            <w:tcW w:w="322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3,108</w:t>
            </w:r>
          </w:p>
        </w:tc>
        <w:tc>
          <w:tcPr>
            <w:tcW w:w="98" w:type="dxa"/>
            <w:tcBorders/>
            <w:shd w:fill="CCEEFF" w:val="clear"/>
            <w:vAlign w:val="center"/>
          </w:tcPr>
          <w:p>
            <w:pPr>
              <w:pStyle w:val="TableContents"/>
              <w:bidi w:val="0"/>
              <w:spacing w:before="0" w:after="283"/>
              <w:jc w:val="left"/>
              <w:rPr/>
            </w:pPr>
            <w:r>
              <w:rPr/>
              <w:t> </w:t>
            </w:r>
          </w:p>
        </w:tc>
      </w:tr>
      <w:tr>
        <w:trPr/>
        <w:tc>
          <w:tcPr>
            <w:tcW w:w="3228"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December  31, 2025 (audited)</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272,331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(228,925</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43,632</w:t>
            </w:r>
          </w:p>
        </w:tc>
        <w:tc>
          <w:tcPr>
            <w:tcW w:w="98"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interim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- 5 </w:t>
      </w:r>
    </w:p>
    <w:p>
      <w:pPr>
        <w:pStyle w:val="TextBody"/>
        <w:bidi w:val="0"/>
        <w:spacing w:before="0" w:after="0"/>
        <w:jc w:val="right"/>
        <w:rPr/>
      </w:pPr>
      <w:r>
        <w:rPr>
          <w:rStyle w:val="StrongEmphasis"/>
          <w:rFonts w:ascii="Times New Roman;Times;serif" w:hAnsi="Times New Roman;Times;serif"/>
          <w:sz w:val="20"/>
        </w:rPr>
        <w:t>MEDIWOUND LTD. AND ITS SUBSIDIARIES</w:t>
      </w:r>
    </w:p>
    <w:p>
      <w:pPr>
        <w:pStyle w:val="TextBody"/>
        <w:bidi w:val="0"/>
        <w:spacing w:before="0" w:after="0"/>
        <w:jc w:val="right"/>
        <w:rPr/>
      </w:pPr>
      <w:r>
        <w:rPr/>
        <w:t> </w:t>
      </w:r>
    </w:p>
    <w:p>
      <w:pPr>
        <w:pStyle w:val="TextBody"/>
        <w:pBdr>
          <w:bottom w:val="single" w:sz="12" w:space="1" w:color="000000"/>
        </w:pBdr>
        <w:bidi w:val="0"/>
        <w:spacing w:before="0" w:after="0"/>
        <w:ind w:left="0" w:right="0" w:hanging="0"/>
        <w:jc w:val="both"/>
        <w:rPr/>
      </w:pPr>
      <w:bookmarkStart w:id="9" w:name="Flows"/>
      <w:bookmarkEnd w:id="9"/>
      <w:r>
        <w:rPr>
          <w:rStyle w:val="StrongEmphasis"/>
          <w:rFonts w:ascii="Times New Roman;Times;serif" w:hAnsi="Times New Roman;Times;serif"/>
          <w:b w:val="false"/>
          <w:i w:val="false"/>
          <w:caps w:val="false"/>
          <w:smallCaps w:val="false"/>
          <w:sz w:val="20"/>
        </w:rPr>
        <w:t>Unaudited Condensed Interim Consolidated Statements of Cash Flows</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8"/>
        <w:gridCol w:w="60"/>
        <w:gridCol w:w="60"/>
        <w:gridCol w:w="650"/>
        <w:gridCol w:w="95"/>
        <w:gridCol w:w="60"/>
        <w:gridCol w:w="60"/>
        <w:gridCol w:w="650"/>
        <w:gridCol w:w="80"/>
        <w:gridCol w:w="60"/>
        <w:gridCol w:w="67"/>
        <w:gridCol w:w="616"/>
        <w:gridCol w:w="90"/>
        <w:gridCol w:w="67"/>
        <w:gridCol w:w="67"/>
        <w:gridCol w:w="735"/>
        <w:gridCol w:w="80"/>
        <w:gridCol w:w="60"/>
        <w:gridCol w:w="153"/>
        <w:gridCol w:w="1687"/>
        <w:gridCol w:w="100"/>
      </w:tblGrid>
      <w:tr>
        <w:trPr/>
        <w:tc>
          <w:tcPr>
            <w:tcW w:w="4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5" w:type="dxa"/>
            <w:gridSpan w:val="6"/>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Six months ended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June 30,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2" w:type="dxa"/>
            <w:gridSpan w:val="6"/>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Three months ended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June 30,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100" w:type="dxa"/>
            <w:tcBorders/>
            <w:vAlign w:val="center"/>
          </w:tcPr>
          <w:p>
            <w:pPr>
              <w:pStyle w:val="TableContents"/>
              <w:bidi w:val="0"/>
              <w:spacing w:before="0" w:after="283"/>
              <w:jc w:val="left"/>
              <w:rPr/>
            </w:pPr>
            <w:r>
              <w:rPr/>
              <w:t> </w:t>
            </w:r>
          </w:p>
        </w:tc>
      </w:tr>
      <w:tr>
        <w:trPr/>
        <w:tc>
          <w:tcPr>
            <w:tcW w:w="4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00" w:type="dxa"/>
            <w:tcBorders/>
            <w:vAlign w:val="center"/>
          </w:tcPr>
          <w:p>
            <w:pPr>
              <w:pStyle w:val="TableContents"/>
              <w:bidi w:val="0"/>
              <w:spacing w:before="0" w:after="283"/>
              <w:ind w:left="0" w:right="0" w:hanging="200"/>
              <w:jc w:val="left"/>
              <w:rPr/>
            </w:pPr>
            <w:r>
              <w:rPr/>
              <w:t> </w:t>
            </w:r>
          </w:p>
        </w:tc>
      </w:tr>
      <w:tr>
        <w:trPr/>
        <w:tc>
          <w:tcPr>
            <w:tcW w:w="4708" w:type="dxa"/>
            <w:tcBorders/>
            <w:shd w:fill="CCEEFF" w:val="cle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47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(10,344</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(7,392</w:t>
            </w:r>
          </w:p>
        </w:tc>
        <w:tc>
          <w:tcPr>
            <w:tcW w:w="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(23,879</w:t>
            </w:r>
          </w:p>
        </w:tc>
        <w:tc>
          <w:tcPr>
            <w:tcW w:w="100"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47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47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200"/>
              <w:jc w:val="left"/>
              <w:rPr/>
            </w:pPr>
            <w:r>
              <w:rPr/>
              <w:t> </w:t>
            </w:r>
          </w:p>
        </w:tc>
      </w:tr>
      <w:tr>
        <w:trPr/>
        <w:tc>
          <w:tcPr>
            <w:tcW w:w="47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47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profit and loss items: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200"/>
              <w:jc w:val="left"/>
              <w:rPr/>
            </w:pPr>
            <w:r>
              <w:rPr/>
              <w:t> </w:t>
            </w:r>
          </w:p>
        </w:tc>
      </w:tr>
      <w:tr>
        <w:trPr/>
        <w:tc>
          <w:tcPr>
            <w:tcW w:w="47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402</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1,860</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47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755</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3,108</w:t>
            </w:r>
          </w:p>
        </w:tc>
        <w:tc>
          <w:tcPr>
            <w:tcW w:w="100" w:type="dxa"/>
            <w:tcBorders/>
            <w:shd w:fill="FFFFFF" w:val="clear"/>
            <w:vAlign w:val="center"/>
          </w:tcPr>
          <w:p>
            <w:pPr>
              <w:pStyle w:val="TableContents"/>
              <w:bidi w:val="0"/>
              <w:spacing w:before="0" w:after="283"/>
              <w:ind w:left="0" w:right="0" w:hanging="200"/>
              <w:jc w:val="left"/>
              <w:rPr/>
            </w:pPr>
            <w:r>
              <w:rPr/>
              <w:t> </w:t>
            </w:r>
          </w:p>
        </w:tc>
      </w:tr>
      <w:tr>
        <w:trPr/>
        <w:tc>
          <w:tcPr>
            <w:tcW w:w="47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Revaluation of warrants accounted at fair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(7,747</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(2,811</w:t>
            </w:r>
          </w:p>
        </w:tc>
        <w:tc>
          <w:tcPr>
            <w:tcW w:w="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(2,158</w:t>
            </w:r>
          </w:p>
        </w:tc>
        <w:tc>
          <w:tcPr>
            <w:tcW w:w="100"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47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Revaluation of liabilities in respect of IIA grants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305</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w:t>
            </w:r>
          </w:p>
        </w:tc>
        <w:tc>
          <w:tcPr>
            <w:tcW w:w="100" w:type="dxa"/>
            <w:tcBorders/>
            <w:shd w:fill="FFFFFF" w:val="clear"/>
            <w:vAlign w:val="center"/>
          </w:tcPr>
          <w:p>
            <w:pPr>
              <w:pStyle w:val="TableContents"/>
              <w:bidi w:val="0"/>
              <w:spacing w:before="0" w:after="283"/>
              <w:ind w:left="0" w:right="0" w:hanging="200"/>
              <w:jc w:val="left"/>
              <w:rPr/>
            </w:pPr>
            <w:r>
              <w:rPr/>
              <w:t> </w:t>
            </w:r>
          </w:p>
        </w:tc>
      </w:tr>
      <w:tr>
        <w:trPr/>
        <w:tc>
          <w:tcPr>
            <w:tcW w:w="47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 expenses and exchange differences of lease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725</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1,725</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47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(decrease) in severance pay liability,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(147</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100" w:type="dxa"/>
            <w:tcBorders/>
            <w:shd w:fill="FFFFFF" w:val="clear"/>
            <w:vAlign w:val="center"/>
          </w:tcPr>
          <w:p>
            <w:pPr>
              <w:pStyle w:val="TableContents"/>
              <w:bidi w:val="0"/>
              <w:spacing w:before="0" w:after="283"/>
              <w:ind w:left="0" w:right="0" w:hanging="200"/>
              <w:jc w:val="left"/>
              <w:rPr/>
            </w:pPr>
            <w:r>
              <w:rPr/>
              <w:t> </w:t>
            </w:r>
          </w:p>
        </w:tc>
      </w:tr>
      <w:tr>
        <w:trPr/>
        <w:tc>
          <w:tcPr>
            <w:tcW w:w="47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expenses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100"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47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income,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(925</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(391</w:t>
            </w:r>
          </w:p>
        </w:tc>
        <w:tc>
          <w:tcPr>
            <w:tcW w:w="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(1,891</w:t>
            </w:r>
          </w:p>
        </w:tc>
        <w:tc>
          <w:tcPr>
            <w:tcW w:w="100"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47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Un-realized foreign currency gain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(91</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(107</w:t>
            </w:r>
          </w:p>
        </w:tc>
        <w:tc>
          <w:tcPr>
            <w:tcW w:w="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7"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c>
          <w:tcPr>
            <w:tcW w:w="100"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47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(5,232</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(1,113</w:t>
            </w:r>
          </w:p>
        </w:tc>
        <w:tc>
          <w:tcPr>
            <w:tcW w:w="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2,991</w:t>
            </w:r>
          </w:p>
        </w:tc>
        <w:tc>
          <w:tcPr>
            <w:tcW w:w="100" w:type="dxa"/>
            <w:tcBorders/>
            <w:shd w:fill="FFFFFF" w:val="clear"/>
            <w:vAlign w:val="center"/>
          </w:tcPr>
          <w:p>
            <w:pPr>
              <w:pStyle w:val="TableContents"/>
              <w:bidi w:val="0"/>
              <w:spacing w:before="0" w:after="283"/>
              <w:ind w:left="0" w:right="0" w:hanging="200"/>
              <w:jc w:val="left"/>
              <w:rPr/>
            </w:pPr>
            <w:r>
              <w:rPr/>
              <w:t> </w:t>
            </w:r>
          </w:p>
        </w:tc>
      </w:tr>
      <w:tr>
        <w:trPr/>
        <w:tc>
          <w:tcPr>
            <w:tcW w:w="47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asset and liability items: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47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200"/>
              <w:jc w:val="left"/>
              <w:rPr/>
            </w:pPr>
            <w:r>
              <w:rPr/>
              <w:t> </w:t>
            </w:r>
          </w:p>
        </w:tc>
      </w:tr>
      <w:tr>
        <w:trPr/>
        <w:tc>
          <w:tcPr>
            <w:tcW w:w="47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 (increase) in trade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(83</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(478</w:t>
            </w:r>
          </w:p>
        </w:tc>
        <w:tc>
          <w:tcPr>
            <w:tcW w:w="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3,211</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47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 (increase) in inventories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655</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(1,363</w:t>
            </w:r>
          </w:p>
        </w:tc>
        <w:tc>
          <w:tcPr>
            <w:tcW w:w="100"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47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 (increase) in other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(1,300</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(567</w:t>
            </w:r>
          </w:p>
        </w:tc>
        <w:tc>
          <w:tcPr>
            <w:tcW w:w="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1,665</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47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(decrease) in trade payables and accrued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(151</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37</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2,350</w:t>
            </w:r>
          </w:p>
        </w:tc>
        <w:tc>
          <w:tcPr>
            <w:tcW w:w="100" w:type="dxa"/>
            <w:tcBorders/>
            <w:shd w:fill="FFFFFF" w:val="clear"/>
            <w:vAlign w:val="center"/>
          </w:tcPr>
          <w:p>
            <w:pPr>
              <w:pStyle w:val="TableContents"/>
              <w:bidi w:val="0"/>
              <w:spacing w:before="0" w:after="283"/>
              <w:ind w:left="0" w:right="0" w:hanging="200"/>
              <w:jc w:val="left"/>
              <w:rPr/>
            </w:pPr>
            <w:r>
              <w:rPr/>
              <w:t> </w:t>
            </w:r>
          </w:p>
        </w:tc>
      </w:tr>
      <w:tr>
        <w:trPr/>
        <w:tc>
          <w:tcPr>
            <w:tcW w:w="47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grants received in advance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47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(decrease) in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(269</w:t>
            </w:r>
          </w:p>
        </w:tc>
        <w:tc>
          <w:tcPr>
            <w:tcW w:w="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(1,096</w:t>
            </w:r>
          </w:p>
        </w:tc>
        <w:tc>
          <w:tcPr>
            <w:tcW w:w="100"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47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(305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(622</w:t>
            </w:r>
          </w:p>
        </w:tc>
        <w:tc>
          <w:tcPr>
            <w:tcW w:w="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4,767</w:t>
            </w:r>
          </w:p>
        </w:tc>
        <w:tc>
          <w:tcPr>
            <w:tcW w:w="100" w:type="dxa"/>
            <w:tcBorders/>
            <w:shd w:fill="CCEEFF" w:val="clear"/>
            <w:vAlign w:val="center"/>
          </w:tcPr>
          <w:p>
            <w:pPr>
              <w:pStyle w:val="TableContents"/>
              <w:bidi w:val="0"/>
              <w:spacing w:before="0" w:after="283"/>
              <w:ind w:left="0" w:right="0" w:hanging="200"/>
              <w:jc w:val="left"/>
              <w:rPr/>
            </w:pPr>
            <w:r>
              <w:rPr/>
              <w:t> </w:t>
            </w:r>
          </w:p>
        </w:tc>
      </w:tr>
      <w:tr>
        <w:trPr/>
        <w:tc>
          <w:tcPr>
            <w:tcW w:w="47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68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200"/>
              <w:jc w:val="left"/>
              <w:rPr/>
            </w:pPr>
            <w:r>
              <w:rPr/>
              <w:t> </w:t>
            </w:r>
          </w:p>
        </w:tc>
      </w:tr>
      <w:tr>
        <w:trPr/>
        <w:tc>
          <w:tcPr>
            <w:tcW w:w="470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(15,881</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(9,127</w:t>
            </w:r>
          </w:p>
        </w:tc>
        <w:tc>
          <w:tcPr>
            <w:tcW w:w="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7"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(16,121</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interim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- 6 </w:t>
      </w:r>
    </w:p>
    <w:p>
      <w:pPr>
        <w:pStyle w:val="TextBody"/>
        <w:bidi w:val="0"/>
        <w:spacing w:before="0" w:after="0"/>
        <w:ind w:left="0" w:right="0" w:hanging="0"/>
        <w:jc w:val="right"/>
        <w:rPr/>
      </w:pPr>
      <w:r>
        <w:rPr>
          <w:rStyle w:val="StrongEmphasis"/>
          <w:rFonts w:ascii="Times New Roman;Times;serif" w:hAnsi="Times New Roman;Times;serif"/>
          <w:b w:val="false"/>
          <w:i w:val="false"/>
          <w:caps w:val="false"/>
          <w:smallCaps w:val="false"/>
          <w:sz w:val="20"/>
        </w:rPr>
        <w:t>MEDIWOUND LTD. AND ITS SUBSIDIARIES</w:t>
      </w:r>
    </w:p>
    <w:p>
      <w:pPr>
        <w:pStyle w:val="TextBody"/>
        <w:bidi w:val="0"/>
        <w:spacing w:before="0" w:after="0"/>
        <w:ind w:left="0" w:right="0" w:hanging="0"/>
        <w:jc w:val="right"/>
        <w:rPr>
          <w:caps w:val="false"/>
          <w:smallCaps w:val="false"/>
        </w:rPr>
      </w:pPr>
      <w:r>
        <w:rPr>
          <w:caps w:val="false"/>
          <w:smallCaps w:val="false"/>
        </w:rPr>
        <w:t> </w:t>
      </w:r>
    </w:p>
    <w:p>
      <w:pPr>
        <w:pStyle w:val="TextBody"/>
        <w:pBdr>
          <w:bottom w:val="single" w:sz="12" w:space="1" w:color="000000"/>
        </w:pBdr>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Unaudited Condensed Interim Consolidated Statements of Cash Flows</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0"/>
        <w:gridCol w:w="60"/>
        <w:gridCol w:w="62"/>
        <w:gridCol w:w="616"/>
        <w:gridCol w:w="83"/>
        <w:gridCol w:w="62"/>
        <w:gridCol w:w="62"/>
        <w:gridCol w:w="569"/>
        <w:gridCol w:w="80"/>
        <w:gridCol w:w="60"/>
        <w:gridCol w:w="66"/>
        <w:gridCol w:w="727"/>
        <w:gridCol w:w="88"/>
        <w:gridCol w:w="66"/>
        <w:gridCol w:w="66"/>
        <w:gridCol w:w="609"/>
        <w:gridCol w:w="80"/>
        <w:gridCol w:w="60"/>
        <w:gridCol w:w="159"/>
        <w:gridCol w:w="1764"/>
        <w:gridCol w:w="186"/>
      </w:tblGrid>
      <w:tr>
        <w:trPr/>
        <w:tc>
          <w:tcPr>
            <w:tcW w:w="4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54" w:type="dxa"/>
            <w:gridSpan w:val="6"/>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Six months ended</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2" w:type="dxa"/>
            <w:gridSpan w:val="6"/>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Three months ended</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3"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186" w:type="dxa"/>
            <w:tcBorders/>
            <w:vAlign w:val="center"/>
          </w:tcPr>
          <w:p>
            <w:pPr>
              <w:pStyle w:val="TableContents"/>
              <w:bidi w:val="0"/>
              <w:spacing w:before="0" w:after="283"/>
              <w:jc w:val="left"/>
              <w:rPr/>
            </w:pPr>
            <w:r>
              <w:rPr/>
              <w:t> </w:t>
            </w:r>
          </w:p>
        </w:tc>
      </w:tr>
      <w:tr>
        <w:trPr/>
        <w:tc>
          <w:tcPr>
            <w:tcW w:w="4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6" w:type="dxa"/>
            <w:tcBorders/>
            <w:vAlign w:val="center"/>
          </w:tcPr>
          <w:p>
            <w:pPr>
              <w:pStyle w:val="TableContents"/>
              <w:bidi w:val="0"/>
              <w:spacing w:before="0" w:after="283"/>
              <w:jc w:val="left"/>
              <w:rPr/>
            </w:pPr>
            <w:r>
              <w:rPr/>
              <w:t> </w:t>
            </w:r>
          </w:p>
        </w:tc>
      </w:tr>
      <w:tr>
        <w:trPr/>
        <w:tc>
          <w:tcPr>
            <w:tcW w:w="4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8" w:type="dxa"/>
            <w:gridSpan w:val="2"/>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31"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 w:type="dxa"/>
            <w:gridSpan w:val="2"/>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7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3" w:type="dxa"/>
            <w:gridSpan w:val="2"/>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ind w:left="0" w:right="0" w:hanging="200"/>
              <w:jc w:val="left"/>
              <w:rPr/>
            </w:pPr>
            <w:r>
              <w:rPr/>
              <w:t> </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764"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ind w:left="0" w:right="0" w:hanging="200"/>
              <w:jc w:val="left"/>
              <w:rPr/>
            </w:pPr>
            <w:r>
              <w:rPr/>
              <w:t> </w:t>
            </w:r>
          </w:p>
        </w:tc>
      </w:tr>
      <w:tr>
        <w:trPr/>
        <w:tc>
          <w:tcPr>
            <w:tcW w:w="4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764"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ind w:left="0" w:right="0" w:firstLine="84"/>
              <w:jc w:val="left"/>
              <w:rPr/>
            </w:pPr>
            <w:r>
              <w:rPr/>
              <w:t> </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(2,894</w:t>
            </w:r>
          </w:p>
        </w:tc>
        <w:tc>
          <w:tcPr>
            <w:tcW w:w="8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(1,074</w:t>
            </w:r>
          </w:p>
        </w:tc>
        <w:tc>
          <w:tcPr>
            <w:tcW w:w="8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7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(5,505</w:t>
            </w:r>
          </w:p>
        </w:tc>
        <w:tc>
          <w:tcPr>
            <w:tcW w:w="186" w:type="dxa"/>
            <w:tcBorders/>
            <w:shd w:fill="CCEEFF" w:val="clear"/>
            <w:vAlign w:val="center"/>
          </w:tcPr>
          <w:p>
            <w:pPr>
              <w:pStyle w:val="TableContents"/>
              <w:bidi w:val="0"/>
              <w:spacing w:before="0" w:after="283"/>
              <w:ind w:left="0" w:right="0" w:firstLine="84"/>
              <w:jc w:val="left"/>
              <w:rPr>
                <w:rFonts w:ascii="Times New Roman;Times;serif" w:hAnsi="Times New Roman;Times;serif"/>
                <w:sz w:val="20"/>
              </w:rPr>
            </w:pPr>
            <w:r>
              <w:rPr>
                <w:rFonts w:ascii="Times New Roman;Times;serif" w:hAnsi="Times New Roman;Times;serif"/>
                <w:sz w:val="20"/>
              </w:rPr>
              <w:t>)</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received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659</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83</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7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1,591</w:t>
            </w:r>
          </w:p>
        </w:tc>
        <w:tc>
          <w:tcPr>
            <w:tcW w:w="186" w:type="dxa"/>
            <w:tcBorders/>
            <w:shd w:fill="FFFFFF" w:val="clear"/>
            <w:vAlign w:val="center"/>
          </w:tcPr>
          <w:p>
            <w:pPr>
              <w:pStyle w:val="TableContents"/>
              <w:bidi w:val="0"/>
              <w:spacing w:before="0" w:after="283"/>
              <w:jc w:val="left"/>
              <w:rPr/>
            </w:pPr>
            <w:r>
              <w:rPr/>
              <w:t> </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(investment in) short-term bank deposits, net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17,600</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(1,400</w:t>
            </w:r>
          </w:p>
        </w:tc>
        <w:tc>
          <w:tcPr>
            <w:tcW w:w="8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6"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(14,036</w:t>
            </w:r>
          </w:p>
        </w:tc>
        <w:tc>
          <w:tcPr>
            <w:tcW w:w="186"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4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764"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ind w:left="0" w:right="0" w:hanging="200"/>
              <w:jc w:val="left"/>
              <w:rPr/>
            </w:pPr>
            <w:r>
              <w:rPr/>
              <w:t> </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15,365</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(2,391</w:t>
            </w:r>
          </w:p>
        </w:tc>
        <w:tc>
          <w:tcPr>
            <w:tcW w:w="8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6"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(17,950</w:t>
            </w:r>
          </w:p>
        </w:tc>
        <w:tc>
          <w:tcPr>
            <w:tcW w:w="186" w:type="dxa"/>
            <w:tcBorders/>
            <w:shd w:fill="CCEE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4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764"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764"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ind w:left="0" w:right="0" w:hanging="200"/>
              <w:jc w:val="left"/>
              <w:rPr/>
            </w:pPr>
            <w:r>
              <w:rPr/>
              <w:t> </w:t>
            </w:r>
          </w:p>
        </w:tc>
      </w:tr>
      <w:tr>
        <w:trPr/>
        <w:tc>
          <w:tcPr>
            <w:tcW w:w="4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764"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ind w:left="0" w:right="0" w:firstLine="84"/>
              <w:jc w:val="left"/>
              <w:rPr/>
            </w:pPr>
            <w:r>
              <w:rPr/>
              <w:t> </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lease liabilities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(702</w:t>
            </w:r>
          </w:p>
        </w:tc>
        <w:tc>
          <w:tcPr>
            <w:tcW w:w="8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(365</w:t>
            </w:r>
          </w:p>
        </w:tc>
        <w:tc>
          <w:tcPr>
            <w:tcW w:w="8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7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(1,212</w:t>
            </w:r>
          </w:p>
        </w:tc>
        <w:tc>
          <w:tcPr>
            <w:tcW w:w="186" w:type="dxa"/>
            <w:tcBorders/>
            <w:shd w:fill="CCEEFF" w:val="clear"/>
            <w:vAlign w:val="center"/>
          </w:tcPr>
          <w:p>
            <w:pPr>
              <w:pStyle w:val="TableContents"/>
              <w:bidi w:val="0"/>
              <w:spacing w:before="0" w:after="283"/>
              <w:ind w:left="0" w:right="0" w:firstLine="84"/>
              <w:jc w:val="left"/>
              <w:rPr>
                <w:rFonts w:ascii="Times New Roman;Times;serif" w:hAnsi="Times New Roman;Times;serif"/>
                <w:sz w:val="20"/>
              </w:rPr>
            </w:pPr>
            <w:r>
              <w:rPr>
                <w:rFonts w:ascii="Times New Roman;Times;serif" w:hAnsi="Times New Roman;Times;serif"/>
                <w:sz w:val="20"/>
              </w:rPr>
              <w:t>)</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exercise of warrants and share options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767</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767</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7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3,630</w:t>
            </w:r>
          </w:p>
        </w:tc>
        <w:tc>
          <w:tcPr>
            <w:tcW w:w="186" w:type="dxa"/>
            <w:tcBorders/>
            <w:shd w:fill="FFFFFF" w:val="clear"/>
            <w:vAlign w:val="center"/>
          </w:tcPr>
          <w:p>
            <w:pPr>
              <w:pStyle w:val="TableContents"/>
              <w:bidi w:val="0"/>
              <w:spacing w:before="0" w:after="283"/>
              <w:ind w:left="0" w:right="0" w:firstLine="84"/>
              <w:jc w:val="left"/>
              <w:rPr/>
            </w:pPr>
            <w:r>
              <w:rPr/>
              <w:t> </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issuance of shares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7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27,416</w:t>
            </w:r>
          </w:p>
        </w:tc>
        <w:tc>
          <w:tcPr>
            <w:tcW w:w="186" w:type="dxa"/>
            <w:tcBorders/>
            <w:shd w:fill="CCEEFF" w:val="clear"/>
            <w:vAlign w:val="center"/>
          </w:tcPr>
          <w:p>
            <w:pPr>
              <w:pStyle w:val="TableContents"/>
              <w:bidi w:val="0"/>
              <w:spacing w:before="0" w:after="283"/>
              <w:ind w:left="0" w:right="0" w:firstLine="84"/>
              <w:jc w:val="left"/>
              <w:rPr/>
            </w:pPr>
            <w:r>
              <w:rPr/>
              <w:t> </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IIA grants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(84</w:t>
            </w:r>
          </w:p>
        </w:tc>
        <w:tc>
          <w:tcPr>
            <w:tcW w:w="8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186"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4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764"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ind w:left="0" w:right="0" w:hanging="200"/>
              <w:jc w:val="left"/>
              <w:rPr/>
            </w:pPr>
            <w:r>
              <w:rPr/>
              <w:t> </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w:t>
            </w:r>
          </w:p>
        </w:tc>
        <w:tc>
          <w:tcPr>
            <w:tcW w:w="8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402</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29,620</w:t>
            </w:r>
          </w:p>
        </w:tc>
        <w:tc>
          <w:tcPr>
            <w:tcW w:w="186" w:type="dxa"/>
            <w:tcBorders/>
            <w:shd w:fill="FFFFFF" w:val="clear"/>
            <w:vAlign w:val="center"/>
          </w:tcPr>
          <w:p>
            <w:pPr>
              <w:pStyle w:val="TableContents"/>
              <w:bidi w:val="0"/>
              <w:spacing w:before="0" w:after="283"/>
              <w:ind w:left="0" w:right="0" w:hanging="200"/>
              <w:jc w:val="left"/>
              <w:rPr/>
            </w:pPr>
            <w:r>
              <w:rPr/>
              <w:t> </w:t>
            </w:r>
          </w:p>
        </w:tc>
      </w:tr>
      <w:tr>
        <w:trPr/>
        <w:tc>
          <w:tcPr>
            <w:tcW w:w="4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764"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ind w:left="0" w:right="0" w:hanging="200"/>
              <w:jc w:val="left"/>
              <w:rPr/>
            </w:pPr>
            <w:r>
              <w:rPr/>
              <w:t> </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Exchange rate differences on cash and cash equivalent balances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109</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c>
          <w:tcPr>
            <w:tcW w:w="186" w:type="dxa"/>
            <w:tcBorders/>
            <w:shd w:fill="FFFFFF" w:val="clear"/>
            <w:vAlign w:val="center"/>
          </w:tcPr>
          <w:p>
            <w:pPr>
              <w:pStyle w:val="TableContents"/>
              <w:bidi w:val="0"/>
              <w:spacing w:before="0" w:after="283"/>
              <w:ind w:left="0" w:right="0" w:hanging="200"/>
              <w:jc w:val="left"/>
              <w:rPr/>
            </w:pPr>
            <w:r>
              <w:rPr/>
              <w:t> </w:t>
            </w:r>
          </w:p>
        </w:tc>
      </w:tr>
      <w:tr>
        <w:trPr/>
        <w:tc>
          <w:tcPr>
            <w:tcW w:w="4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764"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ind w:left="0" w:right="0" w:hanging="200"/>
              <w:jc w:val="left"/>
              <w:rPr/>
            </w:pPr>
            <w:r>
              <w:rPr/>
              <w:t> </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(455</w:t>
            </w:r>
          </w:p>
        </w:tc>
        <w:tc>
          <w:tcPr>
            <w:tcW w:w="8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(11,007</w:t>
            </w:r>
          </w:p>
        </w:tc>
        <w:tc>
          <w:tcPr>
            <w:tcW w:w="88"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7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(4,356</w:t>
            </w:r>
          </w:p>
        </w:tc>
        <w:tc>
          <w:tcPr>
            <w:tcW w:w="186" w:type="dxa"/>
            <w:tcBorders/>
            <w:shd w:fill="FFFFFF" w:val="cle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w:t>
            </w:r>
          </w:p>
        </w:tc>
      </w:tr>
      <w:tr>
        <w:trPr/>
        <w:tc>
          <w:tcPr>
            <w:tcW w:w="4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764"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ind w:left="0" w:right="0" w:hanging="200"/>
              <w:jc w:val="left"/>
              <w:rPr/>
            </w:pPr>
            <w:r>
              <w:rPr/>
              <w:t> </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of cash and cash equivalents at the beginning of the period</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4,799</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15,351</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9,155</w:t>
            </w:r>
          </w:p>
        </w:tc>
        <w:tc>
          <w:tcPr>
            <w:tcW w:w="186" w:type="dxa"/>
            <w:tcBorders/>
            <w:shd w:fill="FFFFFF" w:val="clear"/>
            <w:vAlign w:val="center"/>
          </w:tcPr>
          <w:p>
            <w:pPr>
              <w:pStyle w:val="TableContents"/>
              <w:bidi w:val="0"/>
              <w:spacing w:before="0" w:after="283"/>
              <w:ind w:left="0" w:right="0" w:hanging="200"/>
              <w:jc w:val="left"/>
              <w:rPr/>
            </w:pPr>
            <w:r>
              <w:rPr/>
              <w:t> </w:t>
            </w:r>
          </w:p>
        </w:tc>
      </w:tr>
      <w:tr>
        <w:trPr/>
        <w:tc>
          <w:tcPr>
            <w:tcW w:w="4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764"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ind w:left="0" w:right="0" w:hanging="200"/>
              <w:jc w:val="left"/>
              <w:rPr/>
            </w:pPr>
            <w:r>
              <w:rPr/>
              <w:t> </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of cash and cash equivalents at the end of the period</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4,344</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4,344</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4,799</w:t>
            </w:r>
          </w:p>
        </w:tc>
        <w:tc>
          <w:tcPr>
            <w:tcW w:w="186" w:type="dxa"/>
            <w:tcBorders/>
            <w:shd w:fill="FFFFFF" w:val="clear"/>
            <w:vAlign w:val="center"/>
          </w:tcPr>
          <w:p>
            <w:pPr>
              <w:pStyle w:val="TableContents"/>
              <w:bidi w:val="0"/>
              <w:spacing w:before="0" w:after="283"/>
              <w:jc w:val="left"/>
              <w:rPr/>
            </w:pPr>
            <w:r>
              <w:rPr/>
              <w:t> </w:t>
            </w:r>
          </w:p>
        </w:tc>
      </w:tr>
      <w:tr>
        <w:trPr/>
        <w:tc>
          <w:tcPr>
            <w:tcW w:w="4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764"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ind w:left="0" w:right="0" w:hanging="200"/>
              <w:jc w:val="left"/>
              <w:rPr/>
            </w:pPr>
            <w:r>
              <w:rPr/>
              <w:t> </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Supplemental disclosure of non-cash transactions: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764"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ind w:left="0" w:right="0" w:hanging="200"/>
              <w:jc w:val="left"/>
              <w:rPr/>
            </w:pPr>
            <w:r>
              <w:rPr/>
              <w:t> </w:t>
            </w:r>
          </w:p>
        </w:tc>
      </w:tr>
      <w:tr>
        <w:trPr/>
        <w:tc>
          <w:tcPr>
            <w:tcW w:w="4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ROU asset, net, recognized with corresponding lease liability</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208</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81</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1,433</w:t>
            </w:r>
          </w:p>
        </w:tc>
        <w:tc>
          <w:tcPr>
            <w:tcW w:w="186" w:type="dxa"/>
            <w:tcBorders/>
            <w:shd w:fill="CCEEFF" w:val="clear"/>
            <w:vAlign w:val="center"/>
          </w:tcPr>
          <w:p>
            <w:pPr>
              <w:pStyle w:val="TableContents"/>
              <w:bidi w:val="0"/>
              <w:spacing w:before="0" w:after="283"/>
              <w:ind w:left="0" w:right="0" w:hanging="200"/>
              <w:jc w:val="left"/>
              <w:rPr/>
            </w:pPr>
            <w:r>
              <w:rPr/>
              <w:t> </w:t>
            </w:r>
          </w:p>
        </w:tc>
      </w:tr>
      <w:tr>
        <w:trPr/>
        <w:tc>
          <w:tcPr>
            <w:tcW w:w="46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property and equipment in trade payables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(395</w:t>
            </w:r>
          </w:p>
        </w:tc>
        <w:tc>
          <w:tcPr>
            <w:tcW w:w="8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(169</w:t>
            </w:r>
          </w:p>
        </w:tc>
        <w:tc>
          <w:tcPr>
            <w:tcW w:w="88"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w:t>
            </w:r>
          </w:p>
        </w:tc>
        <w:tc>
          <w:tcPr>
            <w:tcW w:w="1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interim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 - 7 </w:t>
      </w:r>
    </w:p>
    <w:p>
      <w:pPr>
        <w:pStyle w:val="TextBody"/>
        <w:bidi w:val="0"/>
        <w:spacing w:before="0" w:after="0"/>
        <w:ind w:left="0" w:right="0" w:hanging="0"/>
        <w:jc w:val="right"/>
        <w:rPr/>
      </w:pPr>
      <w:r>
        <w:rPr>
          <w:rStyle w:val="StrongEmphasis"/>
          <w:rFonts w:ascii="Times New Roman;Times;serif" w:hAnsi="Times New Roman;Times;serif"/>
          <w:b w:val="false"/>
          <w:i w:val="false"/>
          <w:caps w:val="false"/>
          <w:smallCaps w:val="false"/>
          <w:sz w:val="20"/>
        </w:rPr>
        <w:t>MEDIWOUND LTD. AND ITS SUBSIDIARIES</w:t>
      </w:r>
    </w:p>
    <w:p>
      <w:pPr>
        <w:pStyle w:val="TextBody"/>
        <w:bidi w:val="0"/>
        <w:spacing w:before="0" w:after="0"/>
        <w:ind w:left="0" w:right="0" w:hanging="0"/>
        <w:jc w:val="right"/>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Notes to Unaudited Condensed Interim Consolidated Financial Statements</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Note"/>
      <w:bookmarkEnd w:id="10"/>
      <w:r>
        <w:rPr>
          <w:rFonts w:ascii="Times New Roman;Times;serif" w:hAnsi="Times New Roman;Times;serif"/>
          <w:b/>
          <w:i w:val="false"/>
          <w:caps w:val="false"/>
          <w:smallCaps w:val="false"/>
          <w:sz w:val="20"/>
        </w:rPr>
        <w:t>Note 1: General</w:t>
      </w:r>
    </w:p>
    <w:p>
      <w:pPr>
        <w:pStyle w:val="TextBody"/>
        <w:bidi w:val="0"/>
        <w:spacing w:before="0" w:after="0"/>
        <w:ind w:left="0" w:right="0" w:hanging="0"/>
        <w:jc w:val="right"/>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rStyle w:val="StrongEmphasis"/>
                <w:rFonts w:ascii="Times New Roman;Times;serif" w:hAnsi="Times New Roman;Times;serif"/>
                <w:sz w:val="20"/>
              </w:rPr>
              <w:t>a.</w:t>
            </w:r>
          </w:p>
        </w:tc>
        <w:tc>
          <w:tcPr>
            <w:tcW w:w="4040" w:type="dxa"/>
            <w:tcBorders/>
            <w:vAlign w:val="center"/>
          </w:tcPr>
          <w:p>
            <w:pPr>
              <w:pStyle w:val="TableContents"/>
              <w:bidi w:val="0"/>
              <w:spacing w:before="0" w:after="283"/>
              <w:jc w:val="both"/>
              <w:rPr/>
            </w:pPr>
            <w:r>
              <w:rPr>
                <w:rStyle w:val="StrongEmphasis"/>
                <w:rFonts w:ascii="Times New Roman;Times;serif" w:hAnsi="Times New Roman;Times;serif"/>
                <w:sz w:val="20"/>
              </w:rPr>
              <w:t xml:space="preserve">Description of the Company and its operations: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6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MediWound Ltd. was incorporated in Israel in January 2000. The Company which is located in Yavne, Israel (the "Company" or "MediWound"), is a biopharmaceutical company that develops, manufactures and commercializes novel, cost effective, bio-therapeutic, non-surgical solutions for tissue repair and regeneration. The Company’s strategy leverages its breakthrough enzymatic technology platform into a diversified portfolio of biotherapeutics across multiple indications to pioneer solutions for unmet medical needs. The Company’s current portfolio is focused on next-generation protein-based therapies for burn care, wound care and tissue repair.</w:t>
      </w:r>
    </w:p>
    <w:p>
      <w:pPr>
        <w:pStyle w:val="TextBody"/>
        <w:bidi w:val="0"/>
        <w:spacing w:before="0" w:after="0"/>
        <w:ind w:left="1689" w:right="0" w:hanging="0"/>
        <w:jc w:val="both"/>
        <w:rPr>
          <w:caps w:val="false"/>
          <w:smallCaps w:val="false"/>
        </w:rPr>
      </w:pPr>
      <w:r>
        <w:rPr>
          <w:caps w:val="false"/>
          <w:smallCaps w:val="false"/>
        </w:rPr>
        <w:t> </w:t>
      </w:r>
    </w:p>
    <w:p>
      <w:pPr>
        <w:pStyle w:val="TextBody"/>
        <w:bidi w:val="0"/>
        <w:spacing w:before="0" w:after="0"/>
        <w:ind w:left="16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first innovative biopharmaceutical product, NexoBrid, has received in December 2022, an approval from the U.S. Food and Drug Administration (“FDA”) and marketing approval in each country of India, Switzerland and Japan. In addition, it has a marketing authorization from the European Medicines Agency (“EMA”) and regulatory agencies in other international markets for removal of dead or damaged tissue, known as eschar, in adults with deep partial and/or full-thickness thermal burns.</w:t>
      </w:r>
    </w:p>
    <w:p>
      <w:pPr>
        <w:pStyle w:val="TextBody"/>
        <w:bidi w:val="0"/>
        <w:spacing w:before="0" w:after="0"/>
        <w:ind w:left="1689" w:right="0" w:hanging="0"/>
        <w:jc w:val="both"/>
        <w:rPr>
          <w:caps w:val="false"/>
          <w:smallCaps w:val="false"/>
        </w:rPr>
      </w:pPr>
      <w:r>
        <w:rPr>
          <w:caps w:val="false"/>
          <w:smallCaps w:val="false"/>
        </w:rPr>
        <w:t> </w:t>
      </w:r>
    </w:p>
    <w:p>
      <w:pPr>
        <w:pStyle w:val="TextBody"/>
        <w:bidi w:val="0"/>
        <w:spacing w:before="0" w:after="0"/>
        <w:ind w:left="16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commercializes NexoBrid globally through multiple sales channels.</w:t>
      </w:r>
    </w:p>
    <w:p>
      <w:pPr>
        <w:pStyle w:val="TextBody"/>
        <w:bidi w:val="0"/>
        <w:spacing w:before="0" w:after="0"/>
        <w:ind w:left="1689" w:right="0" w:hanging="0"/>
        <w:jc w:val="both"/>
        <w:rPr>
          <w:caps w:val="false"/>
          <w:smallCaps w:val="false"/>
        </w:rPr>
      </w:pPr>
      <w:r>
        <w:rPr>
          <w:caps w:val="false"/>
          <w:smallCaps w:val="false"/>
        </w:rPr>
        <w:t> </w:t>
      </w:r>
    </w:p>
    <w:p>
      <w:pPr>
        <w:pStyle w:val="TextBody"/>
        <w:bidi w:val="0"/>
        <w:spacing w:before="0" w:after="0"/>
        <w:ind w:left="16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sells NexoBrid to burn centers in the European Union, United Kingdom and Israel, primarily through its commercial organizations.</w:t>
      </w:r>
    </w:p>
    <w:p>
      <w:pPr>
        <w:pStyle w:val="TextBody"/>
        <w:bidi w:val="0"/>
        <w:spacing w:before="0" w:after="0"/>
        <w:ind w:left="1689" w:right="0" w:hanging="0"/>
        <w:jc w:val="both"/>
        <w:rPr>
          <w:caps w:val="false"/>
          <w:smallCaps w:val="false"/>
        </w:rPr>
      </w:pPr>
      <w:r>
        <w:rPr>
          <w:caps w:val="false"/>
          <w:smallCaps w:val="false"/>
        </w:rPr>
        <w:t> </w:t>
      </w:r>
    </w:p>
    <w:p>
      <w:pPr>
        <w:pStyle w:val="TextBody"/>
        <w:bidi w:val="0"/>
        <w:spacing w:before="0" w:after="0"/>
        <w:ind w:left="16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local distribution channels in multiple international markets, including Asia Pacific, EMEA, CEE and LATAM, which local distributors are also responsible for obtaining local marketing authorization within the relevant territories.</w:t>
      </w:r>
    </w:p>
    <w:p>
      <w:pPr>
        <w:pStyle w:val="TextBody"/>
        <w:bidi w:val="0"/>
        <w:spacing w:before="0" w:after="0"/>
        <w:ind w:left="1689" w:right="0" w:hanging="0"/>
        <w:jc w:val="both"/>
        <w:rPr>
          <w:caps w:val="false"/>
          <w:smallCaps w:val="false"/>
        </w:rPr>
      </w:pPr>
      <w:r>
        <w:rPr>
          <w:caps w:val="false"/>
          <w:smallCaps w:val="false"/>
        </w:rPr>
        <w:t> </w:t>
      </w:r>
    </w:p>
    <w:p>
      <w:pPr>
        <w:pStyle w:val="TextBody"/>
        <w:bidi w:val="0"/>
        <w:spacing w:before="0" w:after="0"/>
        <w:ind w:left="16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 Company entered into exclusive license and supply agreements with Vericel Corporation (“Vericel”) to commercialize NexoBrid in North America. On September 21, 2023, the Company announced the U.S. commercial availability of NexoBrid for the removal of eschar in adults with deep partial and/or full-thickness thermal burns.</w:t>
      </w:r>
    </w:p>
    <w:p>
      <w:pPr>
        <w:pStyle w:val="TextBody"/>
        <w:bidi w:val="0"/>
        <w:spacing w:before="0" w:after="0"/>
        <w:ind w:left="1689" w:right="0" w:hanging="0"/>
        <w:jc w:val="both"/>
        <w:rPr>
          <w:caps w:val="false"/>
          <w:smallCaps w:val="false"/>
        </w:rPr>
      </w:pPr>
      <w:r>
        <w:rPr>
          <w:caps w:val="false"/>
          <w:smallCaps w:val="false"/>
        </w:rPr>
        <w:t> </w:t>
      </w:r>
    </w:p>
    <w:p>
      <w:pPr>
        <w:pStyle w:val="TextBody"/>
        <w:bidi w:val="0"/>
        <w:spacing w:before="0" w:after="0"/>
        <w:ind w:left="16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Company announced that the FDA has approved a pediatric indication for NexoBrid allowing for eschar removal in pediatric patients aged newborn through eighteen with deep partial and/or full-thickness thermal burns. With this FDA approval, NexoBrid is now authorized for use in the U.S. for all age groups, aligning with its approvals in the European Union and Japan.</w:t>
      </w:r>
    </w:p>
    <w:p>
      <w:pPr>
        <w:pStyle w:val="TextBody"/>
        <w:bidi w:val="0"/>
        <w:spacing w:before="0" w:after="0"/>
        <w:ind w:left="1689" w:right="0" w:hanging="0"/>
        <w:jc w:val="both"/>
        <w:rPr>
          <w:caps w:val="false"/>
          <w:smallCaps w:val="false"/>
        </w:rPr>
      </w:pPr>
      <w:r>
        <w:rPr>
          <w:caps w:val="false"/>
          <w:smallCaps w:val="false"/>
        </w:rPr>
        <w:t> </w:t>
      </w:r>
    </w:p>
    <w:p>
      <w:pPr>
        <w:pStyle w:val="TextBody"/>
        <w:bidi w:val="0"/>
        <w:spacing w:before="0" w:after="0"/>
        <w:ind w:left="16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second investigational next-generation enzymatic therapy product, EscharEx, is a topical biological drug being developed for debridement of chronic and other hard-to-heal wounds.</w:t>
      </w:r>
    </w:p>
    <w:p>
      <w:pPr>
        <w:pStyle w:val="TextBody"/>
        <w:bidi w:val="0"/>
        <w:spacing w:before="0" w:after="0"/>
        <w:ind w:left="1689" w:right="0" w:hanging="0"/>
        <w:jc w:val="both"/>
        <w:rPr>
          <w:caps w:val="false"/>
          <w:smallCaps w:val="false"/>
        </w:rPr>
      </w:pPr>
      <w:r>
        <w:rPr>
          <w:caps w:val="false"/>
          <w:smallCaps w:val="false"/>
        </w:rPr>
        <w:t> </w:t>
      </w:r>
    </w:p>
    <w:p>
      <w:pPr>
        <w:pStyle w:val="TextBody"/>
        <w:bidi w:val="0"/>
        <w:spacing w:before="0" w:after="0"/>
        <w:ind w:left="16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announced the initiation of VALUE, a global, pivotal Phase III trial evaluating EscharEx for the treatment of venous leg ulcers (VLUs).</w:t>
      </w:r>
    </w:p>
    <w:p>
      <w:pPr>
        <w:pStyle w:val="TextBody"/>
        <w:bidi w:val="0"/>
        <w:spacing w:before="0" w:after="0"/>
        <w:ind w:left="1689" w:right="0" w:hanging="0"/>
        <w:jc w:val="both"/>
        <w:rPr>
          <w:caps w:val="false"/>
          <w:smallCaps w:val="false"/>
        </w:rPr>
      </w:pPr>
      <w:r>
        <w:rPr>
          <w:caps w:val="false"/>
          <w:smallCaps w:val="false"/>
        </w:rPr>
        <w:t> </w:t>
      </w:r>
    </w:p>
    <w:p>
      <w:pPr>
        <w:pStyle w:val="TextBody"/>
        <w:bidi w:val="0"/>
        <w:spacing w:before="2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- 8</w:t>
      </w:r>
    </w:p>
    <w:p>
      <w:pPr>
        <w:pStyle w:val="HorizontalLine"/>
        <w:bidi w:val="0"/>
        <w:spacing w:before="0" w:after="0"/>
        <w:jc w:val="left"/>
        <w:rPr/>
      </w:pPr>
      <w:r>
        <w:rPr/>
      </w:r>
    </w:p>
    <w:p>
      <w:pPr>
        <w:pStyle w:val="TextBody"/>
        <w:bidi w:val="0"/>
        <w:spacing w:before="200" w:after="283"/>
        <w:jc w:val="right"/>
        <w:rPr>
          <w:rFonts w:ascii="Times New Roman;Times;serif" w:hAnsi="Times New Roman;Times;serif"/>
          <w:b/>
          <w:color w:val="000000"/>
          <w:sz w:val="20"/>
        </w:rPr>
      </w:pPr>
      <w:r>
        <w:rPr>
          <w:rFonts w:ascii="Times New Roman;Times;serif" w:hAnsi="Times New Roman;Times;serif"/>
          <w:b/>
          <w:color w:val="000000"/>
          <w:sz w:val="20"/>
        </w:rPr>
        <w:t>MEDIWOUND LTD. AND ITS SUBSIDIARIES</w:t>
      </w:r>
    </w:p>
    <w:p>
      <w:pPr>
        <w:pStyle w:val="TextBody"/>
        <w:bidi w:val="0"/>
        <w:spacing w:before="0" w:after="0"/>
        <w:jc w:val="right"/>
        <w:rPr/>
      </w:pPr>
      <w:r>
        <w:rPr/>
        <w:t> </w:t>
      </w:r>
    </w:p>
    <w:p>
      <w:pPr>
        <w:pStyle w:val="TextBody"/>
        <w:bidi w:val="0"/>
        <w:spacing w:before="0" w:after="0"/>
        <w:jc w:val="both"/>
        <w:rPr/>
      </w:pPr>
      <w:r>
        <w:rPr>
          <w:rStyle w:val="StrongEmphasis"/>
          <w:rFonts w:ascii="Times New Roman;Times;serif" w:hAnsi="Times New Roman;Times;serif"/>
          <w:sz w:val="20"/>
        </w:rPr>
        <w:t>Notes to Unaudited Condensed Interim Consolidated Financial Statements</w:t>
      </w:r>
    </w:p>
    <w:p>
      <w:pPr>
        <w:pStyle w:val="HorizontalLine"/>
        <w:bidi w:val="0"/>
        <w:spacing w:before="0" w:after="0"/>
        <w:jc w:val="both"/>
        <w:rPr/>
      </w:pPr>
      <w:r>
        <w:rPr/>
      </w:r>
    </w:p>
    <w:p>
      <w:pPr>
        <w:pStyle w:val="TextBody"/>
        <w:bidi w:val="0"/>
        <w:spacing w:lineRule="auto" w:line="240" w:before="0" w:after="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U.S. dollars in thousands</w:t>
      </w:r>
    </w:p>
    <w:p>
      <w:pPr>
        <w:pStyle w:val="TextBody"/>
        <w:bidi w:val="0"/>
        <w:spacing w:before="0" w:after="0"/>
        <w:jc w:val="right"/>
        <w:rPr/>
      </w:pPr>
      <w:r>
        <w:rPr/>
        <w:t> </w:t>
      </w:r>
    </w:p>
    <w:tbl>
      <w:tblPr>
        <w:tblW w:w="2284" w:type="dxa"/>
        <w:jc w:val="left"/>
        <w:tblInd w:w="0" w:type="dxa"/>
        <w:tblLayout w:type="fixed"/>
        <w:tblCellMar>
          <w:top w:w="0" w:type="dxa"/>
          <w:left w:w="0" w:type="dxa"/>
          <w:bottom w:w="0" w:type="dxa"/>
          <w:right w:w="0" w:type="dxa"/>
        </w:tblCellMar>
      </w:tblPr>
      <w:tblGrid>
        <w:gridCol w:w="1142"/>
        <w:gridCol w:w="1142"/>
      </w:tblGrid>
      <w:tr>
        <w:trPr/>
        <w:tc>
          <w:tcPr>
            <w:tcW w:w="2284" w:type="dxa"/>
            <w:gridSpan w:val="2"/>
            <w:tcBorders/>
            <w:vAlign w:val="center"/>
          </w:tcPr>
          <w:p>
            <w:pPr>
              <w:pStyle w:val="TableContents"/>
              <w:bidi w:val="0"/>
              <w:spacing w:before="0" w:after="0"/>
              <w:jc w:val="left"/>
              <w:rPr>
                <w:b/>
              </w:rPr>
            </w:pPr>
            <w:r>
              <w:rPr>
                <w:rFonts w:ascii="Times New Roman;Times;serif" w:hAnsi="Times New Roman;Times;serif"/>
                <w:b/>
                <w:sz w:val="20"/>
              </w:rPr>
              <w:t>Note 1: </w:t>
            </w:r>
            <w:r>
              <w:rPr>
                <w:b/>
              </w:rPr>
              <w:t>General (Cont.)</w:t>
            </w:r>
          </w:p>
        </w:tc>
      </w:tr>
      <w:tr>
        <w:trPr/>
        <w:tc>
          <w:tcPr>
            <w:tcW w:w="1142" w:type="dxa"/>
            <w:tcBorders/>
            <w:vAlign w:val="center"/>
          </w:tcPr>
          <w:p>
            <w:pPr>
              <w:pStyle w:val="TableContents"/>
              <w:bidi w:val="0"/>
              <w:spacing w:before="0" w:after="0"/>
              <w:jc w:val="left"/>
              <w:rPr/>
            </w:pPr>
            <w:r>
              <w:rPr/>
              <w:t> </w:t>
            </w:r>
          </w:p>
        </w:tc>
        <w:tc>
          <w:tcPr>
            <w:tcW w:w="1142" w:type="dxa"/>
            <w:tcBorders/>
            <w:vAlign w:val="center"/>
          </w:tcPr>
          <w:p>
            <w:pPr>
              <w:pStyle w:val="TableContents"/>
              <w:bidi w:val="0"/>
              <w:spacing w:before="0" w:after="0"/>
              <w:jc w:val="both"/>
              <w:rPr/>
            </w:pPr>
            <w:r>
              <w:rPr/>
              <w:t> </w:t>
            </w:r>
          </w:p>
        </w:tc>
      </w:tr>
    </w:tbl>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rStyle w:val="StrongEmphasis"/>
                <w:rFonts w:ascii="Times New Roman;Times;serif" w:hAnsi="Times New Roman;Times;serif"/>
                <w:sz w:val="20"/>
              </w:rPr>
              <w:t>b.</w:t>
            </w:r>
          </w:p>
        </w:tc>
        <w:tc>
          <w:tcPr>
            <w:tcW w:w="6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Company's securities are listed for trading on NASDAQ since March 2014.</w:t>
            </w:r>
          </w:p>
        </w:tc>
      </w:tr>
    </w:tbl>
    <w:p>
      <w:pPr>
        <w:pStyle w:val="TextBody"/>
        <w:bidi w:val="0"/>
        <w:spacing w:before="0" w:after="0"/>
        <w:ind w:left="113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rStyle w:val="StrongEmphasis"/>
                <w:rFonts w:ascii="Times New Roman;Times;serif" w:hAnsi="Times New Roman;Times;serif"/>
                <w:sz w:val="20"/>
              </w:rPr>
              <w:t>c.</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three wholly owned subsidiaries: MediWound Germany GmbH, acting as Europe (“EU”) marketing authorization holder and EU sales and marketing arm, MediWound UK Limited and MediWound US, Inc. which are currently inactive companies.</w:t>
            </w:r>
          </w:p>
        </w:tc>
      </w:tr>
    </w:tbl>
    <w:p>
      <w:pPr>
        <w:pStyle w:val="TextBody"/>
        <w:bidi w:val="0"/>
        <w:spacing w:before="0" w:after="0"/>
        <w:jc w:val="left"/>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17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rStyle w:val="StrongEmphasis"/>
                <w:rFonts w:ascii="Times New Roman;Times;serif" w:hAnsi="Times New Roman;Times;serif"/>
                <w:sz w:val="20"/>
              </w:rPr>
              <w:t>d.</w:t>
            </w:r>
          </w:p>
        </w:tc>
        <w:tc>
          <w:tcPr>
            <w:tcW w:w="1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BARDA Contracts: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2015, the Company was awarded a Biomedical Advanced Research and Developments Authority (“BARDA”) contract for treatment of thermal burn injuries.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contract was amended multiple times to extend its term until September 2025 and its total value, up to a total amount of $165,000 as of the end of 2022.</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BARDA has awarded an additional approximately $10,000 to the Company. The total amount of the contract is comprised of $110,000 to support research and development activities and up to $65,000 to procure Nexobrid for U.S. emergency preparedness (which will be split between the Company and Vericel following Vericel’s agreement).</w:t>
      </w:r>
    </w:p>
    <w:p>
      <w:pPr>
        <w:pStyle w:val="TextBody"/>
        <w:bidi w:val="0"/>
        <w:spacing w:before="0" w:after="0"/>
        <w:ind w:left="1277" w:right="0" w:firstLine="424"/>
        <w:jc w:val="both"/>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recognized approximately $99,809 in the aggregate, from BARDA for support of its research and development activities and an additional $16,500 for procurement of Nexobrid for U.S. emergency preparedness, which were recorded at the net amount of approximately $10,500 following the split of gross profit agreement with Vericel for the initial BARDA procurement. The contract expired in September 2025. (See also note 4.2)</w:t>
      </w:r>
    </w:p>
    <w:p>
      <w:pPr>
        <w:pStyle w:val="TextBody"/>
        <w:bidi w:val="0"/>
        <w:spacing w:before="0" w:after="0"/>
        <w:ind w:left="1701" w:right="0" w:hanging="0"/>
        <w:jc w:val="both"/>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155"/>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rStyle w:val="StrongEmphasis"/>
                <w:rFonts w:ascii="Times New Roman;Times;serif" w:hAnsi="Times New Roman;Times;serif"/>
                <w:sz w:val="20"/>
              </w:rPr>
              <w:t>e.</w:t>
            </w:r>
          </w:p>
        </w:tc>
        <w:tc>
          <w:tcPr>
            <w:tcW w:w="2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DOW and MTEC contracts: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2022, the Company entered into a contract with the U.S. Department of War (DOW), through the Medical Technology Enterprise Consortium (MTEC), to develop NexoBrid as a non-surgical solution for field-care burn treatment for the U.S. Army. The contract provides funding up to $2,727.</w:t>
      </w:r>
    </w:p>
    <w:p>
      <w:pPr>
        <w:pStyle w:val="TextBody"/>
        <w:bidi w:val="0"/>
        <w:spacing w:before="0" w:after="0"/>
        <w:ind w:left="1636" w:right="0" w:hanging="0"/>
        <w:jc w:val="both"/>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DOW through MTEC awarded the Company additional funding of $9,117.</w:t>
      </w:r>
    </w:p>
    <w:p>
      <w:pPr>
        <w:pStyle w:val="TextBody"/>
        <w:bidi w:val="0"/>
        <w:spacing w:before="0" w:after="0"/>
        <w:ind w:left="1636" w:right="0" w:hanging="0"/>
        <w:jc w:val="both"/>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was awarded directly through MTEC funding of $1,190, to advance the development of a new temperature stable formulation of NexoBrid.</w:t>
      </w:r>
    </w:p>
    <w:p>
      <w:pPr>
        <w:pStyle w:val="TextBody"/>
        <w:bidi w:val="0"/>
        <w:spacing w:before="0" w:after="0"/>
        <w:ind w:left="1636" w:right="0" w:hanging="0"/>
        <w:jc w:val="both"/>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the Company was awarded additional funding of $1,557 from the DOW through MTEC. In April 2025 the Company was awarded additional funding of $937 from the DOW through MTEC. In July 2025 the Company was awarded additional funding of $2,715 from the DOW through MTEC. The total funding from the DOW and MTEC is $18,243.</w:t>
      </w:r>
    </w:p>
    <w:p>
      <w:pPr>
        <w:pStyle w:val="TextBody"/>
        <w:bidi w:val="0"/>
        <w:spacing w:before="0" w:after="0"/>
        <w:ind w:left="1636" w:right="0" w:hanging="0"/>
        <w:jc w:val="both"/>
        <w:rPr>
          <w:caps w:val="false"/>
          <w:smallCaps w:val="false"/>
        </w:rPr>
      </w:pPr>
      <w:r>
        <w:rPr>
          <w:caps w:val="false"/>
          <w:smallCaps w:val="false"/>
        </w:rPr>
        <w:t> </w:t>
      </w:r>
    </w:p>
    <w:p>
      <w:pPr>
        <w:pStyle w:val="TextBody"/>
        <w:bidi w:val="0"/>
        <w:spacing w:before="2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- 9</w:t>
      </w:r>
    </w:p>
    <w:p>
      <w:pPr>
        <w:pStyle w:val="HorizontalLine"/>
        <w:bidi w:val="0"/>
        <w:spacing w:before="0" w:after="0"/>
        <w:jc w:val="left"/>
        <w:rPr/>
      </w:pPr>
      <w:r>
        <w:rPr/>
      </w:r>
    </w:p>
    <w:p>
      <w:pPr>
        <w:pStyle w:val="TextBody"/>
        <w:bidi w:val="0"/>
        <w:spacing w:before="200" w:after="283"/>
        <w:jc w:val="right"/>
        <w:rPr>
          <w:rFonts w:ascii="Times New Roman;Times;serif" w:hAnsi="Times New Roman;Times;serif"/>
          <w:b/>
          <w:color w:val="000000"/>
          <w:sz w:val="20"/>
        </w:rPr>
      </w:pPr>
      <w:r>
        <w:rPr>
          <w:rFonts w:ascii="Times New Roman;Times;serif" w:hAnsi="Times New Roman;Times;serif"/>
          <w:b/>
          <w:color w:val="000000"/>
          <w:sz w:val="20"/>
        </w:rPr>
        <w:t>MEDIWOUND LTD. AND ITS SUBSIDIARIES</w:t>
      </w:r>
    </w:p>
    <w:p>
      <w:pPr>
        <w:pStyle w:val="TextBody"/>
        <w:bidi w:val="0"/>
        <w:spacing w:before="0" w:after="0"/>
        <w:jc w:val="right"/>
        <w:rPr/>
      </w:pPr>
      <w:r>
        <w:rPr/>
        <w:t> </w:t>
      </w:r>
    </w:p>
    <w:p>
      <w:pPr>
        <w:pStyle w:val="TextBody"/>
        <w:bidi w:val="0"/>
        <w:spacing w:before="0" w:after="0"/>
        <w:jc w:val="both"/>
        <w:rPr/>
      </w:pPr>
      <w:r>
        <w:rPr>
          <w:rStyle w:val="StrongEmphasis"/>
          <w:rFonts w:ascii="Times New Roman;Times;serif" w:hAnsi="Times New Roman;Times;serif"/>
          <w:sz w:val="20"/>
        </w:rPr>
        <w:t>Notes to Unaudited Condensed Interim Consolidated Financial Statements</w:t>
      </w:r>
    </w:p>
    <w:p>
      <w:pPr>
        <w:pStyle w:val="HorizontalLine"/>
        <w:bidi w:val="0"/>
        <w:spacing w:before="0" w:after="0"/>
        <w:jc w:val="both"/>
        <w:rPr/>
      </w:pPr>
      <w:r>
        <w:rPr/>
      </w:r>
    </w:p>
    <w:p>
      <w:pPr>
        <w:pStyle w:val="TextBody"/>
        <w:bidi w:val="0"/>
        <w:spacing w:lineRule="auto" w:line="240" w:before="0" w:after="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U.S. dollars in thousands</w:t>
      </w:r>
    </w:p>
    <w:p>
      <w:pPr>
        <w:pStyle w:val="TextBody"/>
        <w:bidi w:val="0"/>
        <w:spacing w:before="0" w:after="0"/>
        <w:jc w:val="right"/>
        <w:rPr/>
      </w:pPr>
      <w:r>
        <w:rPr/>
        <w:t> </w:t>
      </w:r>
    </w:p>
    <w:tbl>
      <w:tblPr>
        <w:tblW w:w="2284" w:type="dxa"/>
        <w:jc w:val="left"/>
        <w:tblInd w:w="0" w:type="dxa"/>
        <w:tblLayout w:type="fixed"/>
        <w:tblCellMar>
          <w:top w:w="0" w:type="dxa"/>
          <w:left w:w="0" w:type="dxa"/>
          <w:bottom w:w="0" w:type="dxa"/>
          <w:right w:w="0" w:type="dxa"/>
        </w:tblCellMar>
      </w:tblPr>
      <w:tblGrid>
        <w:gridCol w:w="1142"/>
        <w:gridCol w:w="1142"/>
      </w:tblGrid>
      <w:tr>
        <w:trPr/>
        <w:tc>
          <w:tcPr>
            <w:tcW w:w="2284" w:type="dxa"/>
            <w:gridSpan w:val="2"/>
            <w:tcBorders/>
            <w:vAlign w:val="center"/>
          </w:tcPr>
          <w:p>
            <w:pPr>
              <w:pStyle w:val="TableContents"/>
              <w:bidi w:val="0"/>
              <w:spacing w:before="0" w:after="0"/>
              <w:jc w:val="left"/>
              <w:rPr>
                <w:b/>
              </w:rPr>
            </w:pPr>
            <w:r>
              <w:rPr>
                <w:rFonts w:ascii="Times New Roman;Times;serif" w:hAnsi="Times New Roman;Times;serif"/>
                <w:b/>
                <w:sz w:val="20"/>
              </w:rPr>
              <w:t>Note 1: </w:t>
            </w:r>
            <w:r>
              <w:rPr>
                <w:b/>
              </w:rPr>
              <w:t>General (Cont.)</w:t>
            </w:r>
          </w:p>
        </w:tc>
      </w:tr>
      <w:tr>
        <w:trPr/>
        <w:tc>
          <w:tcPr>
            <w:tcW w:w="1142" w:type="dxa"/>
            <w:tcBorders/>
            <w:vAlign w:val="center"/>
          </w:tcPr>
          <w:p>
            <w:pPr>
              <w:pStyle w:val="TableContents"/>
              <w:bidi w:val="0"/>
              <w:spacing w:before="0" w:after="0"/>
              <w:jc w:val="left"/>
              <w:rPr/>
            </w:pPr>
            <w:r>
              <w:rPr/>
              <w:t> </w:t>
            </w:r>
          </w:p>
        </w:tc>
        <w:tc>
          <w:tcPr>
            <w:tcW w:w="1142" w:type="dxa"/>
            <w:tcBorders/>
            <w:vAlign w:val="center"/>
          </w:tcPr>
          <w:p>
            <w:pPr>
              <w:pStyle w:val="TableContents"/>
              <w:bidi w:val="0"/>
              <w:spacing w:before="0" w:after="0"/>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rStyle w:val="StrongEmphasis"/>
                <w:rFonts w:ascii="Times New Roman;Times;serif" w:hAnsi="Times New Roman;Times;serif"/>
                <w:sz w:val="20"/>
              </w:rPr>
              <w:t>f.</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on a basis which assumes that the Company will continue as a going concern. From inception to June 30, 2026, the Company has incurred cash outflows from operations, losses from operations, and has an accumulated deficit of $239.3 million.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its existing cash and cash equivalents, and bank deposits of $35.8 million as of June 30, 2026, will be sufficient to fund its operations and capital expenditure for at least twelve months from the date of issuance of these consolidated financial statements.</w:t>
      </w:r>
    </w:p>
    <w:p>
      <w:pPr>
        <w:pStyle w:val="TextBody"/>
        <w:bidi w:val="0"/>
        <w:spacing w:before="0" w:after="0"/>
        <w:ind w:left="163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rStyle w:val="StrongEmphasis"/>
                <w:rFonts w:ascii="Times New Roman;Times;serif" w:hAnsi="Times New Roman;Times;serif"/>
                <w:sz w:val="20"/>
              </w:rPr>
              <w:t>g.</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October 2023, Israel was attacked by a terrorist organization and entered a state of war. On June 13, 2025, Israel launched Operation “Rising Lion”, a direct military campaign targeting Iranian military and nuclear infrastructure in response to escalating regional security threats. A ceasefire between Israel and Iran was declared on June 24, 2025. In October 2025, a ceasefire was reached between Israel and Hamas in the Gaza Strip. On February 28, 2026, a joint military operation by the United States and Israel against Iran commenced following escalating regional tensions. In response, Iran launched ballistic missiles and unmanned aerial vehicles toward Israel. On March 1, 2026, hostilities further expanded following rocket fire from Lebanon toward Israel. On April 8, 2026, a ceasefire was announced between the United States and Iran.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63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headquarters, manufacturing and R&amp;D facilities are located in Israel. Despite these developments, the Company's operations have remained largely unaffected, and during the period ended June 30, 2026, the impact on the Company's results of operations and financial condition was not material. Nevertheless, the regional security and geopolitical environment remains sensitive and dynamic, and management continues to closely monitor developments and assess their potential impact on the Company's operations and financial condition in the future.</w:t>
      </w:r>
    </w:p>
    <w:p>
      <w:pPr>
        <w:pStyle w:val="TextBody"/>
        <w:bidi w:val="0"/>
        <w:spacing w:before="0" w:after="0"/>
        <w:ind w:left="0" w:right="0" w:hanging="0"/>
        <w:jc w:val="left"/>
        <w:rPr/>
      </w:pPr>
      <w:r>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Material Accounting Policies</w:t>
      </w:r>
    </w:p>
    <w:p>
      <w:pPr>
        <w:pStyle w:val="TextBody"/>
        <w:bidi w:val="0"/>
        <w:spacing w:before="0" w:after="0"/>
        <w:ind w:left="1134" w:right="0" w:hanging="1134"/>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170"/>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rStyle w:val="StrongEmphasis"/>
                <w:rFonts w:ascii="Times New Roman;Times;serif" w:hAnsi="Times New Roman;Times;serif"/>
                <w:sz w:val="20"/>
              </w:rPr>
              <w:t>a.</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Basis of preparation of the interim consolidated financial statements:</w:t>
            </w:r>
          </w:p>
        </w:tc>
      </w:tr>
    </w:tbl>
    <w:p>
      <w:pPr>
        <w:pStyle w:val="TextBody"/>
        <w:bidi w:val="0"/>
        <w:spacing w:before="0" w:after="0"/>
        <w:ind w:left="567" w:right="0" w:firstLine="567"/>
        <w:jc w:val="both"/>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condensed consolidated financial statements for the six and three months ended June 30, 2026, have been prepared in accordance with IAS 34 "Interim Financial Reporting".</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condensed consolidated interim financial statements have been prepared in accordance with IAS 34 Interim Financial Reporting and do not include all of the information required for full annual financial statements. They should be read in conjunction with the financial statements as at and for the year ended December 31, 2025 (hereinafter – “the annual financial statements”). These condensed consolidated interim financial statements were authorized for issue by the Group’s Board of Directors on August 13, 2026.</w:t>
      </w:r>
    </w:p>
    <w:p>
      <w:pPr>
        <w:pStyle w:val="TextBody"/>
        <w:bidi w:val="0"/>
        <w:spacing w:before="0" w:after="0"/>
        <w:ind w:left="1701" w:right="0" w:hanging="0"/>
        <w:jc w:val="both"/>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17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rStyle w:val="StrongEmphasis"/>
                <w:rFonts w:ascii="Times New Roman;Times;serif" w:hAnsi="Times New Roman;Times;serif"/>
                <w:sz w:val="20"/>
              </w:rPr>
              <w:t>b.</w:t>
            </w:r>
          </w:p>
        </w:tc>
        <w:tc>
          <w:tcPr>
            <w:tcW w:w="2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 of judgements and estimates: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these interim financial statements, management has made judgements and estimates about the future, including climate-related risks and opportunities, that affect the application of accounting policies and the reported amounts of assets and liabilities, income and expense. Actual results may differ from these estimates.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judgments made by management in applying the Group's accounting policies and the key sources of estimation uncertainty were the same as those described in the last annual financial statements.</w:t>
      </w:r>
    </w:p>
    <w:p>
      <w:pPr>
        <w:pStyle w:val="TextBody"/>
        <w:bidi w:val="0"/>
        <w:spacing w:before="0" w:after="0"/>
        <w:ind w:left="0" w:right="0" w:hanging="0"/>
        <w:jc w:val="left"/>
        <w:rPr/>
      </w:pPr>
      <w:r>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w:t>
      </w:r>
      <w:r>
        <w:rPr>
          <w:rFonts w:ascii="Times New Roman;Times;Serif" w:hAnsi="Times New Roman;Times;Serif"/>
          <w:b/>
          <w:i w:val="false"/>
          <w:caps w:val="false"/>
          <w:smallCaps w:val="false"/>
          <w:sz w:val="20"/>
        </w:rPr>
        <w:t>Equity</w:t>
      </w:r>
    </w:p>
    <w:p>
      <w:pPr>
        <w:pStyle w:val="TextBody"/>
        <w:bidi w:val="0"/>
        <w:spacing w:before="0" w:after="0"/>
        <w:ind w:left="1134" w:right="0" w:hanging="113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rStyle w:val="StrongEmphasis"/>
                <w:rFonts w:ascii="Times New Roman;Times;serif" w:hAnsi="Times New Roman;Times;serif"/>
                <w:sz w:val="20"/>
              </w:rPr>
              <w:t>1.</w:t>
            </w:r>
          </w:p>
        </w:tc>
        <w:tc>
          <w:tcPr>
            <w:tcW w:w="10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March 4, 2026, the Company’s Board of Directors approved the grant of 280,150 share options and 31,800 restricted share units (RSUs) to officers, directors and employees of the Company. The share options have an exercise price of $17.60 per share and will vest over a period of 1 to 4 years.</w:t>
            </w:r>
          </w:p>
        </w:tc>
      </w:tr>
    </w:tbl>
    <w:p>
      <w:pPr>
        <w:pStyle w:val="TextBody"/>
        <w:bidi w:val="0"/>
        <w:spacing w:before="0" w:after="0"/>
        <w:jc w:val="left"/>
        <w:rPr>
          <w:caps w:val="false"/>
          <w:smallCaps w:val="false"/>
        </w:rPr>
      </w:pPr>
      <w:r>
        <w:rPr>
          <w:caps w:val="false"/>
          <w:smallCaps w:val="false"/>
        </w:rPr>
        <w:t> </w:t>
      </w:r>
    </w:p>
    <w:p>
      <w:pPr>
        <w:pStyle w:val="TextBody"/>
        <w:bidi w:val="0"/>
        <w:spacing w:before="2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- 10</w:t>
      </w:r>
    </w:p>
    <w:p>
      <w:pPr>
        <w:pStyle w:val="HorizontalLine"/>
        <w:bidi w:val="0"/>
        <w:spacing w:before="0" w:after="0"/>
        <w:jc w:val="left"/>
        <w:rPr/>
      </w:pPr>
      <w:r>
        <w:rPr/>
      </w:r>
    </w:p>
    <w:p>
      <w:pPr>
        <w:pStyle w:val="TextBody"/>
        <w:bidi w:val="0"/>
        <w:spacing w:before="200" w:after="283"/>
        <w:jc w:val="right"/>
        <w:rPr>
          <w:rFonts w:ascii="Times New Roman;Times;serif" w:hAnsi="Times New Roman;Times;serif"/>
          <w:b/>
          <w:color w:val="000000"/>
          <w:sz w:val="20"/>
        </w:rPr>
      </w:pPr>
      <w:r>
        <w:rPr>
          <w:rFonts w:ascii="Times New Roman;Times;serif" w:hAnsi="Times New Roman;Times;serif"/>
          <w:b/>
          <w:color w:val="000000"/>
          <w:sz w:val="20"/>
        </w:rPr>
        <w:t>MEDIWOUND LTD. AND ITS SUBSIDIARIES</w:t>
      </w:r>
    </w:p>
    <w:p>
      <w:pPr>
        <w:pStyle w:val="TextBody"/>
        <w:bidi w:val="0"/>
        <w:spacing w:before="0" w:after="0"/>
        <w:jc w:val="right"/>
        <w:rPr/>
      </w:pPr>
      <w:r>
        <w:rPr/>
        <w:t> </w:t>
      </w:r>
    </w:p>
    <w:p>
      <w:pPr>
        <w:pStyle w:val="TextBody"/>
        <w:bidi w:val="0"/>
        <w:spacing w:before="0" w:after="0"/>
        <w:jc w:val="both"/>
        <w:rPr/>
      </w:pPr>
      <w:r>
        <w:rPr>
          <w:rStyle w:val="StrongEmphasis"/>
          <w:rFonts w:ascii="Times New Roman;Times;serif" w:hAnsi="Times New Roman;Times;serif"/>
          <w:sz w:val="20"/>
        </w:rPr>
        <w:t>Notes to Unaudited Condensed Interim Consolidated Financial Statements</w:t>
      </w:r>
    </w:p>
    <w:p>
      <w:pPr>
        <w:pStyle w:val="HorizontalLine"/>
        <w:bidi w:val="0"/>
        <w:spacing w:before="0" w:after="0"/>
        <w:jc w:val="both"/>
        <w:rPr/>
      </w:pPr>
      <w:r>
        <w:rPr/>
      </w:r>
    </w:p>
    <w:p>
      <w:pPr>
        <w:pStyle w:val="TextBody"/>
        <w:bidi w:val="0"/>
        <w:spacing w:lineRule="auto" w:line="240" w:before="0" w:after="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U.S. dollars in thousands</w:t>
      </w:r>
    </w:p>
    <w:p>
      <w:pPr>
        <w:pStyle w:val="TextBody"/>
        <w:bidi w:val="0"/>
        <w:spacing w:before="0" w:after="0"/>
        <w:jc w:val="right"/>
        <w:rPr/>
      </w:pPr>
      <w:r>
        <w:rPr/>
        <w:t> </w:t>
      </w:r>
    </w:p>
    <w:tbl>
      <w:tblPr>
        <w:tblW w:w="2164" w:type="dxa"/>
        <w:jc w:val="left"/>
        <w:tblInd w:w="0" w:type="dxa"/>
        <w:tblLayout w:type="fixed"/>
        <w:tblCellMar>
          <w:top w:w="0" w:type="dxa"/>
          <w:left w:w="0" w:type="dxa"/>
          <w:bottom w:w="0" w:type="dxa"/>
          <w:right w:w="0" w:type="dxa"/>
        </w:tblCellMar>
      </w:tblPr>
      <w:tblGrid>
        <w:gridCol w:w="1082"/>
        <w:gridCol w:w="1082"/>
      </w:tblGrid>
      <w:tr>
        <w:trPr/>
        <w:tc>
          <w:tcPr>
            <w:tcW w:w="2164" w:type="dxa"/>
            <w:gridSpan w:val="2"/>
            <w:tcBorders/>
            <w:vAlign w:val="center"/>
          </w:tcPr>
          <w:p>
            <w:pPr>
              <w:pStyle w:val="TableContents"/>
              <w:bidi w:val="0"/>
              <w:spacing w:before="0" w:after="0"/>
              <w:jc w:val="left"/>
              <w:rPr>
                <w:b/>
              </w:rPr>
            </w:pPr>
            <w:r>
              <w:rPr>
                <w:rFonts w:ascii="Times New Roman;Times;serif" w:hAnsi="Times New Roman;Times;serif"/>
                <w:b/>
                <w:sz w:val="20"/>
              </w:rPr>
              <w:t>Note 3: </w:t>
            </w:r>
            <w:r>
              <w:rPr>
                <w:b/>
              </w:rPr>
              <w:t>Equity (Cont.)</w:t>
            </w:r>
          </w:p>
        </w:tc>
      </w:tr>
      <w:tr>
        <w:trPr/>
        <w:tc>
          <w:tcPr>
            <w:tcW w:w="1082" w:type="dxa"/>
            <w:tcBorders/>
            <w:vAlign w:val="center"/>
          </w:tcPr>
          <w:p>
            <w:pPr>
              <w:pStyle w:val="TableContents"/>
              <w:bidi w:val="0"/>
              <w:spacing w:before="0" w:after="0"/>
              <w:jc w:val="left"/>
              <w:rPr/>
            </w:pPr>
            <w:r>
              <w:rPr/>
              <w:t> </w:t>
            </w:r>
          </w:p>
        </w:tc>
        <w:tc>
          <w:tcPr>
            <w:tcW w:w="1082" w:type="dxa"/>
            <w:tcBorders/>
            <w:vAlign w:val="center"/>
          </w:tcPr>
          <w:p>
            <w:pPr>
              <w:pStyle w:val="TableContents"/>
              <w:bidi w:val="0"/>
              <w:spacing w:before="0" w:after="0"/>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rStyle w:val="StrongEmphasis"/>
                <w:rFonts w:ascii="Times New Roman;Times;serif" w:hAnsi="Times New Roman;Times;serif"/>
                <w:sz w:val="20"/>
              </w:rPr>
              <w:t>2.</w:t>
            </w:r>
          </w:p>
        </w:tc>
        <w:tc>
          <w:tcPr>
            <w:tcW w:w="10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May 25, 2026, 50,000 Series A warrants were exercised into the Company's ordinary shares at an exercise price of $13.475 per ordinary share, in accordance with the terms of the Series A warrant.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warrants which are classified as current liabilities was measured by using the Black-Scholes model. The following inputs were used to determine the fair value:</w:t>
      </w:r>
    </w:p>
    <w:p>
      <w:pPr>
        <w:pStyle w:val="TextBody"/>
        <w:bidi w:val="0"/>
        <w:spacing w:before="0" w:after="0"/>
        <w:ind w:left="1560" w:right="0" w:hanging="0"/>
        <w:jc w:val="both"/>
        <w:rPr>
          <w:caps w:val="false"/>
          <w:smallCaps w:val="false"/>
        </w:rPr>
      </w:pPr>
      <w:r>
        <w:rPr>
          <w:caps w:val="false"/>
          <w:smallCaps w:val="false"/>
        </w:rPr>
        <w:t> </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period of warrants–0.41 years.</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 – 43.7%</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 – 3.96%</w:t>
      </w:r>
    </w:p>
    <w:p>
      <w:pPr>
        <w:pStyle w:val="TextBody"/>
        <w:bidi w:val="0"/>
        <w:spacing w:before="0" w:after="0"/>
        <w:ind w:left="170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 yield – 0%.</w:t>
      </w:r>
    </w:p>
    <w:p>
      <w:pPr>
        <w:pStyle w:val="TextBody"/>
        <w:bidi w:val="0"/>
        <w:spacing w:before="0" w:after="0"/>
        <w:ind w:left="1560" w:right="0" w:hanging="0"/>
        <w:jc w:val="left"/>
        <w:rPr>
          <w:caps w:val="false"/>
          <w:smallCaps w:val="false"/>
        </w:rPr>
      </w:pPr>
      <w:r>
        <w:rPr>
          <w:caps w:val="false"/>
          <w:smallCaps w:val="false"/>
        </w:rPr>
        <w:t> </w:t>
      </w:r>
    </w:p>
    <w:tbl>
      <w:tblPr>
        <w:tblW w:w="6245" w:type="dxa"/>
        <w:jc w:val="left"/>
        <w:tblInd w:w="1710" w:type="dxa"/>
        <w:tblLayout w:type="fixed"/>
        <w:tblCellMar>
          <w:top w:w="0" w:type="dxa"/>
          <w:left w:w="0" w:type="dxa"/>
          <w:bottom w:w="0" w:type="dxa"/>
          <w:right w:w="0" w:type="dxa"/>
        </w:tblCellMar>
      </w:tblPr>
      <w:tblGrid>
        <w:gridCol w:w="3860"/>
        <w:gridCol w:w="60"/>
        <w:gridCol w:w="60"/>
        <w:gridCol w:w="590"/>
        <w:gridCol w:w="80"/>
        <w:gridCol w:w="60"/>
        <w:gridCol w:w="60"/>
        <w:gridCol w:w="590"/>
        <w:gridCol w:w="80"/>
        <w:gridCol w:w="60"/>
        <w:gridCol w:w="60"/>
        <w:gridCol w:w="590"/>
        <w:gridCol w:w="95"/>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0" w:type="dxa"/>
            <w:gridSpan w:val="6"/>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b/>
                <w:sz w:val="20"/>
              </w:rPr>
              <w:t>Jun-30</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b/>
                <w:sz w:val="20"/>
              </w:rPr>
              <w:t>Dec-31</w:t>
            </w:r>
          </w:p>
        </w:tc>
        <w:tc>
          <w:tcPr>
            <w:tcW w:w="95" w:type="dxa"/>
            <w:tcBorders/>
            <w:vAlign w:val="center"/>
          </w:tcPr>
          <w:p>
            <w:pPr>
              <w:pStyle w:val="TableContents"/>
              <w:bidi w:val="0"/>
              <w:spacing w:before="0" w:after="283"/>
              <w:jc w:val="center"/>
              <w:rPr/>
            </w:pPr>
            <w:r>
              <w:rPr/>
              <w:t> </w:t>
            </w:r>
          </w:p>
        </w:tc>
      </w:tr>
      <w:tr>
        <w:trPr/>
        <w:tc>
          <w:tcPr>
            <w:tcW w:w="38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 as of January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12,659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17,092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17,092</w:t>
            </w:r>
          </w:p>
        </w:tc>
        <w:tc>
          <w:tcPr>
            <w:tcW w:w="9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(2,275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Revaluation of warrants accounted at fair value</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(7,747</w:t>
            </w:r>
          </w:p>
        </w:tc>
        <w:tc>
          <w:tcPr>
            <w:tcW w:w="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(2,158</w:t>
            </w:r>
          </w:p>
        </w:tc>
        <w:tc>
          <w:tcPr>
            <w:tcW w:w="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 at the end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4,736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12,659</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134" w:right="0" w:hanging="113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Subsequent events</w:t>
      </w:r>
    </w:p>
    <w:p>
      <w:pPr>
        <w:pStyle w:val="TextBody"/>
        <w:bidi w:val="0"/>
        <w:spacing w:before="0" w:after="0"/>
        <w:ind w:left="1134" w:right="0" w:hanging="113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July and August 2026, 83,487 Series A warrants were exercised into the Company's ordinary shares at an exercise price of $13.475 per ordinary share, for aggregate gross proceeds of $1,125 to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4"/>
        <w:gridCol w:w="10033"/>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April 2026, Vericel was awarded a ten-year BARDA contract valued at up to $197 million to support NexoBrid procurement, vendor-managed inventory services, potential blast-trauma indication development, and next-generation manufacturing and formulation capabilities (The “BARDA Contract”).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 </w:t>
            </w:r>
          </w:p>
        </w:tc>
        <w:tc>
          <w:tcPr>
            <w:tcW w:w="10033" w:type="dxa"/>
            <w:tcBorders/>
            <w:vAlign w:val="center"/>
          </w:tcPr>
          <w:p>
            <w:pPr>
              <w:pStyle w:val="TableContents"/>
              <w:bidi w:val="0"/>
              <w:spacing w:before="0" w:after="283"/>
              <w:jc w:val="both"/>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 </w:t>
            </w:r>
          </w:p>
        </w:tc>
        <w:tc>
          <w:tcPr>
            <w:tcW w:w="100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connection with the “BARDA Contract” the Company and Vericel entered into a Master Services Agreement (the “MSA”), in August 2026, covering NexoBrid and next-generation product development activities. Under the MSA, the Company expects to begin recognizing revenue in the second half of 2026 by participating in a next generation development program that has been initiated to support the potential expansion of NexoBrid for use in blast- and friction-related injuries, leveraging real-world evidence.</w:t>
            </w:r>
          </w:p>
        </w:tc>
      </w:tr>
    </w:tbl>
    <w:p>
      <w:pPr>
        <w:pStyle w:val="TextBody"/>
        <w:bidi w:val="0"/>
        <w:spacing w:before="0" w:after="0"/>
        <w:ind w:left="1843" w:right="0" w:hanging="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170"/>
        <w:gridCol w:w="9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August 12, 2026, the Company’s Board of Directors approved the grant of 4,000 share options to a service provider.</w:t>
            </w:r>
          </w:p>
        </w:tc>
      </w:tr>
    </w:tbl>
    <w:p>
      <w:pPr>
        <w:pStyle w:val="TextBody"/>
        <w:bidi w:val="0"/>
        <w:spacing w:before="0" w:after="0"/>
        <w:ind w:left="0" w:right="0" w:hanging="0"/>
        <w:jc w:val="left"/>
        <w:rPr/>
      </w:pPr>
      <w:r>
        <w:rPr/>
        <w:t> </w:t>
      </w:r>
    </w:p>
    <w:p>
      <w:pPr>
        <w:pStyle w:val="TextBody"/>
        <w:bidi w:val="0"/>
        <w:spacing w:before="0" w:after="60"/>
        <w:jc w:val="center"/>
        <w:rPr>
          <w:rFonts w:ascii="Times New Roman;Times;serif" w:hAnsi="Times New Roman;Times;serif"/>
          <w:sz w:val="20"/>
        </w:rPr>
      </w:pPr>
      <w:r>
        <w:rPr>
          <w:rFonts w:ascii="Times New Roman;Times;serif" w:hAnsi="Times New Roman;Times;serif"/>
          <w:sz w:val="20"/>
        </w:rPr>
        <w:t>F - 11</w:t>
      </w:r>
    </w:p>
    <w:p>
      <w:pPr>
        <w:pStyle w:val="TextBody"/>
        <w:bidi w:val="0"/>
        <w:spacing w:before="0" w:after="283"/>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6758</Words>
  <Characters>36529</Characters>
  <CharactersWithSpaces>45816</CharactersWithSpaces>
  <Paragraphs>6190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