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8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26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86"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7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5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For the month of May 2018</w:t>
      </w:r>
    </w:p>
    <w:p>
      <w:pPr>
        <w:spacing w:after="0" w:line="27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Commission File Number: 001-36349</w:t>
      </w:r>
    </w:p>
    <w:p>
      <w:pPr>
        <w:spacing w:after="0" w:line="20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9"/>
          <w:szCs w:val="29"/>
          <w:b w:val="1"/>
          <w:bCs w:val="1"/>
          <w:color w:val="auto"/>
        </w:rPr>
        <w:t>MediWound</w:t>
      </w:r>
    </w:p>
    <w:p>
      <w:pPr>
        <w:spacing w:after="0" w:line="42"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9"/>
          <w:szCs w:val="29"/>
          <w:b w:val="1"/>
          <w:bCs w:val="1"/>
          <w:color w:val="auto"/>
        </w:rPr>
        <w:t>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2561590</wp:posOffset>
            </wp:positionH>
            <wp:positionV relativeFrom="paragraph">
              <wp:posOffset>2540</wp:posOffset>
            </wp:positionV>
            <wp:extent cx="13036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17145"/>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75"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42 Hayarkon Street</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Yavne, 8122745 Israel</w:t>
      </w:r>
    </w:p>
    <w:p>
      <w:pPr>
        <w:spacing w:after="0" w:line="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0" w:lineRule="exact"/>
        <w:rPr>
          <w:sz w:val="24"/>
          <w:szCs w:val="24"/>
          <w:color w:val="auto"/>
        </w:rPr>
      </w:pPr>
    </w:p>
    <w:p>
      <w:pPr>
        <w:ind w:left="3620"/>
        <w:spacing w:after="0" w:line="253" w:lineRule="exact"/>
        <w:tabs>
          <w:tab w:leader="none" w:pos="530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266065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81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10, 2018, MediWound Ltd. (the “Company”) issued a press release entitled “MediWound Reports First Quarter 2018 Financial Results”. A copy of this press release is attached to this Form 6-K as Exhibit 99.1.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pursuant to the Information Rights Agreement between the Company and Clal Biotechnology Industries Ltd. ("CBI"), dated March 3, 2014 (which was attached to the Company's registration statement as exhibit 4.3), the Company is required to provide CBI with certain information necessary for CBI to meet its obligations under Israeli Securities Law. This Form 6-K includes an Un-Audited Interim Condensed Consolidated Financial Statements as of March 31, 2018, attached as Exhibit 99.2, which was provided by the Company to CBI on May 9, 2018 pursuant to such contractual obligation.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MEDIWOUND LTD.</w:t>
            </w:r>
          </w:p>
        </w:tc>
      </w:tr>
      <w:tr>
        <w:trPr>
          <w:trHeight w:val="39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2018</w:t>
            </w:r>
          </w:p>
        </w:tc>
        <w:tc>
          <w:tcPr>
            <w:tcW w:w="27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Sharon Malka</w:t>
            </w:r>
          </w:p>
        </w:tc>
        <w:tc>
          <w:tcPr>
            <w:tcW w:w="3880" w:type="dxa"/>
            <w:vAlign w:val="bottom"/>
          </w:tcPr>
          <w:p>
            <w:pPr>
              <w:spacing w:after="0"/>
              <w:rPr>
                <w:sz w:val="24"/>
                <w:szCs w:val="24"/>
                <w:color w:val="auto"/>
              </w:rPr>
            </w:pPr>
          </w:p>
        </w:tc>
      </w:tr>
      <w:tr>
        <w:trPr>
          <w:trHeight w:val="218"/>
        </w:trPr>
        <w:tc>
          <w:tcPr>
            <w:tcW w:w="3560" w:type="dxa"/>
            <w:vAlign w:val="bottom"/>
          </w:tcPr>
          <w:p>
            <w:pPr>
              <w:spacing w:after="0"/>
              <w:rPr>
                <w:sz w:val="18"/>
                <w:szCs w:val="18"/>
                <w:color w:val="auto"/>
              </w:rPr>
            </w:pPr>
          </w:p>
        </w:tc>
        <w:tc>
          <w:tcPr>
            <w:tcW w:w="27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Malka</w:t>
            </w:r>
          </w:p>
        </w:tc>
      </w:tr>
      <w:tr>
        <w:trPr>
          <w:trHeight w:val="234"/>
        </w:trPr>
        <w:tc>
          <w:tcPr>
            <w:tcW w:w="3560" w:type="dxa"/>
            <w:vAlign w:val="bottom"/>
          </w:tcPr>
          <w:p>
            <w:pPr>
              <w:spacing w:after="0"/>
              <w:rPr>
                <w:sz w:val="20"/>
                <w:szCs w:val="20"/>
                <w:color w:val="auto"/>
              </w:rPr>
            </w:pPr>
          </w:p>
        </w:tc>
        <w:tc>
          <w:tcPr>
            <w:tcW w:w="27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62"/>
        </w:trPr>
        <w:tc>
          <w:tcPr>
            <w:tcW w:w="3560" w:type="dxa"/>
            <w:vAlign w:val="bottom"/>
          </w:tcPr>
          <w:p>
            <w:pPr>
              <w:spacing w:after="0"/>
              <w:rPr>
                <w:sz w:val="24"/>
                <w:szCs w:val="24"/>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61"/>
        </w:trPr>
        <w:tc>
          <w:tcPr>
            <w:tcW w:w="356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8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8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Form 6-K: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760" w:type="dxa"/>
            <w:vAlign w:val="bottom"/>
          </w:tcPr>
          <w:p>
            <w:pPr>
              <w:spacing w:after="0"/>
              <w:rPr>
                <w:sz w:val="17"/>
                <w:szCs w:val="17"/>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6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dated May 10, 2018 titled “MediWound Reports First Quarter 2018 Financial Results”.</w:t>
            </w:r>
          </w:p>
        </w:tc>
      </w:tr>
      <w:tr>
        <w:trPr>
          <w:trHeight w:val="466"/>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 xml:space="preserve">Un-Audited Interim </w:t>
            </w:r>
            <w:r>
              <w:rPr>
                <w:rFonts w:ascii="Times New Roman" w:cs="Times New Roman" w:eastAsia="Times New Roman" w:hAnsi="Times New Roman"/>
                <w:sz w:val="18"/>
                <w:szCs w:val="18"/>
                <w:color w:val="4F8ABD"/>
              </w:rPr>
              <w:t>Condensed Consolidated</w:t>
            </w:r>
            <w:r>
              <w:rPr>
                <w:rFonts w:ascii="Times New Roman" w:cs="Times New Roman" w:eastAsia="Times New Roman" w:hAnsi="Times New Roman"/>
                <w:sz w:val="18"/>
                <w:szCs w:val="18"/>
                <w:color w:val="0000EE"/>
              </w:rPr>
              <w:t xml:space="preserve"> Financial Statements as of March 31, 2018.</w:t>
            </w:r>
          </w:p>
        </w:tc>
        <w:tc>
          <w:tcPr>
            <w:tcW w:w="2880" w:type="dxa"/>
            <w:vAlign w:val="bottom"/>
          </w:tcPr>
          <w:p>
            <w:pPr>
              <w:spacing w:after="0"/>
              <w:rPr>
                <w:sz w:val="24"/>
                <w:szCs w:val="24"/>
                <w:color w:val="auto"/>
              </w:rPr>
            </w:pPr>
          </w:p>
        </w:tc>
      </w:tr>
      <w:tr>
        <w:trPr>
          <w:trHeight w:val="507"/>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Borders>
              <w:top w:val="single" w:sz="8" w:color="0000EE"/>
            </w:tcBorders>
            <w:gridSpan w:val="2"/>
          </w:tcPr>
          <w:p>
            <w:pPr>
              <w:spacing w:after="0"/>
              <w:rPr>
                <w:sz w:val="24"/>
                <w:szCs w:val="24"/>
                <w:color w:val="auto"/>
              </w:rPr>
            </w:pPr>
          </w:p>
        </w:tc>
        <w:tc>
          <w:tcPr>
            <w:tcW w:w="1840" w:type="dxa"/>
            <w:vAlign w:val="bottom"/>
            <w:tcBorders>
              <w:top w:val="single" w:sz="8" w:color="4F8ABD"/>
            </w:tcBorders>
          </w:tcPr>
          <w:p>
            <w:pPr>
              <w:spacing w:after="0"/>
              <w:rPr>
                <w:sz w:val="24"/>
                <w:szCs w:val="24"/>
                <w:color w:val="auto"/>
              </w:rPr>
            </w:pPr>
          </w:p>
        </w:tc>
        <w:tc>
          <w:tcPr>
            <w:tcW w:w="3140" w:type="dxa"/>
            <w:vAlign w:val="bottom"/>
            <w:tcBorders>
              <w:top w:val="single" w:sz="8" w:color="0000EE"/>
            </w:tcBorders>
          </w:tcPr>
          <w:p>
            <w:pPr>
              <w:jc w:val="right"/>
              <w:ind w:right="191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r>
      <w:tr>
        <w:trPr>
          <w:trHeight w:val="163"/>
        </w:trPr>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87"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174625</wp:posOffset>
            </wp:positionV>
            <wp:extent cx="1724025" cy="540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News Release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MediWound Reports First Quarter 2018 Financial Results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Anticipates completion of enrollment of Phase 3 DETECT Study of NexoBrid® around mid-2018</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Conference call begins today at 8:30 a.m. Eastern Time</w:t>
      </w:r>
    </w:p>
    <w:p>
      <w:pPr>
        <w:spacing w:after="0" w:line="2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YAVNE, Israel (May 10, 2018) – </w:t>
      </w:r>
      <w:r>
        <w:rPr>
          <w:rFonts w:ascii="Times New Roman" w:cs="Times New Roman" w:eastAsia="Times New Roman" w:hAnsi="Times New Roman"/>
          <w:sz w:val="18"/>
          <w:szCs w:val="18"/>
          <w:color w:val="auto"/>
        </w:rPr>
        <w:t>MediWound Ltd. (Nasdaq: MDWD), a fully-integrated biopharmaceutical company bringing innovative therapies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unmet needs in severe burn and wound management, today announced financial results for the first quarter ended March 31, 2018.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the First Quarter and Recent Weeks</w:t>
      </w:r>
    </w:p>
    <w:p>
      <w:pPr>
        <w:spacing w:after="0" w:line="28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$0.5 million, at the same level of the first quarter of 2017.</w:t>
      </w:r>
    </w:p>
    <w:p>
      <w:pPr>
        <w:spacing w:after="0" w:line="27" w:lineRule="exact"/>
        <w:rPr>
          <w:rFonts w:ascii="Times New Roman" w:cs="Times New Roman" w:eastAsia="Times New Roman" w:hAnsi="Times New Roman"/>
          <w:sz w:val="18"/>
          <w:szCs w:val="18"/>
          <w:color w:val="auto"/>
        </w:rPr>
      </w:pPr>
    </w:p>
    <w:p>
      <w:pPr>
        <w:ind w:left="660" w:hanging="328"/>
        <w:spacing w:after="0" w:line="18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MediWound is currently on track to complete recruitment around mid-year 2018 in its Phase 3 DETECT Study of NexoBrid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Top-line data currently anticipated around year-end 2018.</w:t>
      </w:r>
    </w:p>
    <w:p>
      <w:pPr>
        <w:spacing w:after="0" w:line="2" w:lineRule="exact"/>
        <w:rPr>
          <w:rFonts w:ascii="Times New Roman" w:cs="Times New Roman" w:eastAsia="Times New Roman" w:hAnsi="Times New Roman"/>
          <w:sz w:val="18"/>
          <w:szCs w:val="18"/>
          <w:color w:val="auto"/>
        </w:rPr>
      </w:pPr>
    </w:p>
    <w:p>
      <w:pPr>
        <w:ind w:left="660" w:hanging="328"/>
        <w:spacing w:after="0" w:line="181" w:lineRule="auto"/>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Announced six presentations highlighting positive results achieved by clinicians using NexoBrid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as an effective enzymatic debridement for severe burns at the American Burn Association (ABA)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Annual Meeting in Chicago, IL.</w:t>
      </w:r>
    </w:p>
    <w:p>
      <w:pPr>
        <w:ind w:left="1300" w:hanging="324"/>
        <w:spacing w:after="0" w:line="18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 Presentations at the ABA highlighted 68 different consensus statements regarding the use and benefits of NexoBrid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by leading burn specialists from prominent burn centers across Europe.</w:t>
      </w:r>
    </w:p>
    <w:p>
      <w:pPr>
        <w:ind w:left="660" w:right="2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MediWound is planning to develop NexoBrid for treatment of Sulfur Mustard (chemical warfare agent) injuries based on previously presented animal data.</w:t>
      </w:r>
    </w:p>
    <w:p>
      <w:pPr>
        <w:spacing w:after="0" w:line="23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“We are currently on track to complete recruitment in our Phase 3 DETECT study around mid-2018. We look forward to sharing the topline results of this study, which we currently expect to report around year-end 2018,” said Gal Cohen, MediWound’s President and Chief Executive Officer. “We were also pleased to see the interest at ABA around NexoBrid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when European burn experts shared with the global attendees their consensus work paper on NexoBrid after treating over 500 patients. The data continues to demonstrate the benefits of NexoBrid across many different aspects of burn care.”</w:t>
      </w:r>
    </w:p>
    <w:p>
      <w:pPr>
        <w:spacing w:after="0" w:line="25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“We are planning to develop NexoBrid for treatment of Sulfur Mustard (chemical warfare agent) injuries based on animal studies presented at the last European Burn Association conference indicating potential benefit of NexoBrid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for the treatment of Sulfur Mustard injuries. MediWound would seek to collaborate on this program with relevant governmental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Stephen T. Wills, MediWound's Chairman, said, "Following the approach by another company to consider a potential strategic transaction, which was announced in our fourth quarter release, we have received preliminary approaches from other strategic parties and we are now engaged in discussions with multiple strategic parties. The Board continues to be advised by Moelis &amp; Company in a thorough evaluation and assessment of these potential strategic transactions. There is no additional information we can share at this stage and there can be no assurances that a definitive agreement between the parties or any other agreement will be reached.”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first quarter of 2018 were $0.5 million, at the same level of the first quarter of 2017.</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the first quarter of 2018 was $0.14 million, compared to a gross profit of $0.20 million in the first quarter of 2017.</w:t>
      </w: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first quarter of 2018, net of participations, were $1.2 million, down 33% compared with $1.8 million for the first quarter of 2017. The decrease in research and development, net, was as a result of an increase of $0.6 million in NexoBrid clinical trials expenses which was offset by an increase of $1.2 million in participation by BARDA in the Company’s R&amp;D expenses.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general and administrative expenses were $2.1 million for both the first quarter of 2018 and 2017.</w:t>
      </w: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loss was $3.7 million for both the first quarter of 2018 and 2017. Operating expenses in the first quarter of 2018 included other expenses of $0.6 million associated with review and analysis of potential strategic transactions.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posted a net loss of $4.6 million, or ($0.17) per share, for the first quarter of 2018 compared with a net loss of $4.3 million, or ($0.20) per share, for the first quarter of 2017. The increase in net loss was primarily a result of one-time other expenses as mentioned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defined below, for the first quarter of 2018 was a loss of $2.8 million, compared with a loss of $3.2 million for the first quarter of 2017.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3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March 31, 2018, the Company had cash, cash equivalents and short-term bank deposits of $32.9 million, compared with $36.1 million at December 31, 2017.</w:t>
      </w:r>
    </w:p>
    <w:p>
      <w:pPr>
        <w:spacing w:after="0" w:line="22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Throughout 2018, the Company will continue to invest primarily in research and development efforts for EscharEx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while NexoBrid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research and development programs will be fully funded by BARDA. As a result, cash use for operating activities in 2018 is expected to be in the range of $14.0 million to $16.0 million.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MediWound management will host a conference call for investors today, Thursday, May 10, 2018 beginning at 8:30 a.m. Eastern Time to discuss these results and answer questions. Shareholders and other interested parties may participate in the conference call by dialing 800-289-0438 (in the U.S.) 1809 212 883 (Israel), or 323-794-2423 (outside the U.S. &amp; Israel) and entering passcode 370010. The call also will be broadcast live on the Internet on the Company’s website at </w:t>
      </w:r>
      <w:r>
        <w:rPr>
          <w:rFonts w:ascii="Times New Roman" w:cs="Times New Roman" w:eastAsia="Times New Roman" w:hAnsi="Times New Roman"/>
          <w:sz w:val="18"/>
          <w:szCs w:val="18"/>
          <w:u w:val="single" w:color="auto"/>
          <w:color w:val="auto"/>
        </w:rPr>
        <w:t>http://ir.mediwound.com/events-and-presentations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replay of the call will be accessible two hours after its completion through May 24, 2018 by dialing 844-512-2921 (in the U.S.) or 412-317-6671 (outside the U.S.) and entering passcode 370010. The call will also be archived on the Company website for 90 days at </w:t>
      </w:r>
      <w:r>
        <w:rPr>
          <w:rFonts w:ascii="Times New Roman" w:cs="Times New Roman" w:eastAsia="Times New Roman" w:hAnsi="Times New Roman"/>
          <w:sz w:val="18"/>
          <w:szCs w:val="18"/>
          <w:u w:val="single" w:color="auto"/>
          <w:color w:val="auto"/>
        </w:rPr>
        <w:t>www.mediwound.com</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one-time expenses, restructuring and share-based compensation expenses.</w:t>
      </w: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MediWound Ltd.</w:t>
      </w:r>
    </w:p>
    <w:p>
      <w:pPr>
        <w:spacing w:after="0" w:line="3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received marketing authorization from the European Medicines Agency as well as the Israeli and Argentinian Ministries of Health, for removal of dead or damaged tissue, known as eschar, in adults with deep partial and full-thickness thermal burns. NexoBrid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represents a new paradigm in burn care management, and clinical trials have demonstrated, with statistical significance, its ability to non-surgically and rapidly remove the eschar earlier and, without harming viable tissues.</w:t>
      </w:r>
    </w:p>
    <w:p>
      <w:pPr>
        <w:spacing w:after="0" w:line="248" w:lineRule="exact"/>
        <w:rPr>
          <w:sz w:val="20"/>
          <w:szCs w:val="20"/>
          <w:color w:val="auto"/>
        </w:rPr>
      </w:pPr>
    </w:p>
    <w:p>
      <w:pPr>
        <w:jc w:val="both"/>
        <w:spacing w:after="0" w:line="181" w:lineRule="auto"/>
        <w:rPr>
          <w:sz w:val="20"/>
          <w:szCs w:val="20"/>
          <w:color w:val="auto"/>
        </w:rPr>
      </w:pPr>
      <w:r>
        <w:rPr>
          <w:rFonts w:ascii="Times New Roman" w:cs="Times New Roman" w:eastAsia="Times New Roman" w:hAnsi="Times New Roman"/>
          <w:sz w:val="18"/>
          <w:szCs w:val="18"/>
          <w:color w:val="auto"/>
        </w:rPr>
        <w:t>MediWound's second innovative product, EscharEx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is a topical biological drug being developed for debridement of chronic and other hard-to-heal wounds and is complementary to the large number of existing wound healing products, which require a clean wound bed in order to heal the wound. EscharEx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contains the same proteolytic enzyme technology as NexoBrid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and benefits from the wealth of existing development data on NexoBrid</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In two Phase 2 studies, EscharEx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has demonstrated safety and efficacy in the debridement of chronic and other hard-to-heal wounds, within a few daily applications.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www.mediwound.com.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assumptions and results related to the regulatory authorizations and launch dates.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factors. In particular, you should consider the risks discussed under the heading “Risk Factors” in our annual report on Form 20-F for the year ended December 31, 2017 and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Bob Yedid</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Malka</w:t>
            </w: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and Operations Officer</w:t>
            </w: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LifeSci Advisors</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MediWound Ltd.</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646-597-6989</w:t>
            </w:r>
          </w:p>
        </w:tc>
        <w:tc>
          <w:tcPr>
            <w:tcW w:w="3860" w:type="dxa"/>
            <w:vAlign w:val="bottom"/>
          </w:tcPr>
          <w:p>
            <w:pPr>
              <w:spacing w:after="0"/>
              <w:rPr>
                <w:sz w:val="18"/>
                <w:szCs w:val="18"/>
                <w:color w:val="auto"/>
              </w:rPr>
            </w:pPr>
          </w:p>
        </w:tc>
      </w:tr>
      <w:tr>
        <w:trPr>
          <w:trHeight w:val="194"/>
        </w:trPr>
        <w:tc>
          <w:tcPr>
            <w:tcW w:w="5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ir@mediwound.co.il</w:t>
            </w:r>
          </w:p>
        </w:tc>
        <w:tc>
          <w:tcPr>
            <w:tcW w:w="5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bob@lifesciadvisors.com</w:t>
            </w:r>
          </w:p>
        </w:tc>
      </w:tr>
      <w:tr>
        <w:trPr>
          <w:trHeight w:val="473"/>
        </w:trPr>
        <w:tc>
          <w:tcPr>
            <w:tcW w:w="1500" w:type="dxa"/>
            <w:vAlign w:val="bottom"/>
            <w:tcBorders>
              <w:top w:val="single" w:sz="8" w:color="auto"/>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8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MediWound,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72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7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 term deposits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other receivable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38,205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29,496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41,520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deposits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 term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2,130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40,800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31,626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44,135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2,182</w:t>
            </w:r>
          </w:p>
        </w:tc>
        <w:tc>
          <w:tcPr>
            <w:tcW w:w="0" w:type="dxa"/>
            <w:vAlign w:val="bottom"/>
          </w:tcPr>
          <w:p>
            <w:pPr>
              <w:spacing w:after="0"/>
              <w:rPr>
                <w:sz w:val="1"/>
                <w:szCs w:val="1"/>
                <w:color w:val="auto"/>
              </w:rPr>
            </w:pPr>
          </w:p>
        </w:tc>
      </w:tr>
      <w:tr>
        <w:trPr>
          <w:trHeight w:val="27"/>
        </w:trPr>
        <w:tc>
          <w:tcPr>
            <w:tcW w:w="7440" w:type="dxa"/>
            <w:vAlign w:val="bottom"/>
            <w:gridSpan w:val="2"/>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6,294</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5,087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in respect of Israeli Innovation Authority grants net of current maturities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for the purchase of shares net of current maturities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14,540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in respect of discontinued operation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Severance pay liability,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 term liabilities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29,478</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22,758</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shareholder equity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31,626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44,135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MediWound,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6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2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 gross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Participation by BARDA &amp; IIA</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(2,847)</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 net of participations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(3,714)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(4,561)</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4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shd w:val="clear" w:color="auto" w:fill="CCEEFF"/>
              </w:rPr>
              <w:t>Basic and diluted loss per share:</w:t>
            </w:r>
          </w:p>
        </w:tc>
        <w:tc>
          <w:tcPr>
            <w:tcW w:w="6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3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(0.17)</w:t>
            </w:r>
          </w:p>
        </w:tc>
        <w:tc>
          <w:tcPr>
            <w:tcW w:w="12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 in the computation of basic and diluted loss per share:</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27,048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3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ADJUSTED EBITDA</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3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U.S. dollars in thousands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6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2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expenses, net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(2,761)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MediWound,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6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60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86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584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(4,551)</w:t>
            </w:r>
          </w:p>
        </w:tc>
        <w:tc>
          <w:tcPr>
            <w:tcW w:w="12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(4,314)</w:t>
            </w:r>
          </w:p>
        </w:tc>
      </w:tr>
      <w:tr>
        <w:trPr>
          <w:trHeight w:val="216"/>
        </w:trPr>
        <w:tc>
          <w:tcPr>
            <w:tcW w:w="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continuing operating activities: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profit and loss items:</w:t>
            </w: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8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180" w:type="dxa"/>
            <w:vAlign w:val="bottom"/>
          </w:tcPr>
          <w:p>
            <w:pPr>
              <w:spacing w:after="0"/>
              <w:rPr>
                <w:sz w:val="18"/>
                <w:szCs w:val="18"/>
                <w:color w:val="auto"/>
              </w:rPr>
            </w:pPr>
          </w:p>
        </w:tc>
        <w:tc>
          <w:tcPr>
            <w:tcW w:w="8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Revaluation of liabilities in respect of IIA grants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8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Revaluation of contingent consideration for the purchase of shares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180" w:type="dxa"/>
            <w:vAlign w:val="bottom"/>
          </w:tcPr>
          <w:p>
            <w:pPr>
              <w:spacing w:after="0"/>
              <w:rPr>
                <w:sz w:val="18"/>
                <w:szCs w:val="18"/>
                <w:color w:val="auto"/>
              </w:rPr>
            </w:pPr>
          </w:p>
        </w:tc>
        <w:tc>
          <w:tcPr>
            <w:tcW w:w="8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Increase in severance liability,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8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financing income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180" w:type="dxa"/>
            <w:vAlign w:val="bottom"/>
          </w:tcPr>
          <w:p>
            <w:pPr>
              <w:spacing w:after="0"/>
              <w:rPr>
                <w:sz w:val="19"/>
                <w:szCs w:val="19"/>
                <w:color w:val="auto"/>
              </w:rPr>
            </w:pPr>
          </w:p>
        </w:tc>
        <w:tc>
          <w:tcPr>
            <w:tcW w:w="8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(gain)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Changes in asset and liability items: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(increase) in trade receivables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80" w:type="dxa"/>
            <w:vAlign w:val="bottom"/>
          </w:tcPr>
          <w:p>
            <w:pPr>
              <w:spacing w:after="0"/>
              <w:rPr>
                <w:sz w:val="18"/>
                <w:szCs w:val="18"/>
                <w:color w:val="auto"/>
              </w:rPr>
            </w:pPr>
          </w:p>
        </w:tc>
        <w:tc>
          <w:tcPr>
            <w:tcW w:w="8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Increase in inventories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8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(increase) in other receivables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180" w:type="dxa"/>
            <w:vAlign w:val="bottom"/>
          </w:tcPr>
          <w:p>
            <w:pPr>
              <w:spacing w:after="0"/>
              <w:rPr>
                <w:sz w:val="18"/>
                <w:szCs w:val="18"/>
                <w:color w:val="auto"/>
              </w:rPr>
            </w:pPr>
          </w:p>
        </w:tc>
        <w:tc>
          <w:tcPr>
            <w:tcW w:w="8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Increase in trade payables &amp; accrued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180" w:type="dxa"/>
            <w:vAlign w:val="bottom"/>
            <w:shd w:val="clear" w:color="auto" w:fill="CCEEFF"/>
          </w:tcPr>
          <w:p>
            <w:pPr>
              <w:spacing w:after="0"/>
              <w:rPr>
                <w:sz w:val="18"/>
                <w:szCs w:val="18"/>
                <w:color w:val="auto"/>
              </w:rPr>
            </w:pPr>
          </w:p>
        </w:tc>
        <w:tc>
          <w:tcPr>
            <w:tcW w:w="8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 other payables &amp; deferred revenues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(2,065)</w:t>
            </w:r>
          </w:p>
        </w:tc>
      </w:tr>
      <w:tr>
        <w:trPr>
          <w:trHeight w:val="27"/>
        </w:trPr>
        <w:tc>
          <w:tcPr>
            <w:tcW w:w="18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(1,530)</w:t>
            </w:r>
          </w:p>
        </w:tc>
      </w:tr>
      <w:tr>
        <w:trPr>
          <w:trHeight w:val="257"/>
        </w:trPr>
        <w:tc>
          <w:tcPr>
            <w:tcW w:w="180" w:type="dxa"/>
            <w:vAlign w:val="bottom"/>
            <w:shd w:val="clear" w:color="auto" w:fill="CCEEFF"/>
          </w:tcPr>
          <w:p>
            <w:pPr>
              <w:spacing w:after="0"/>
              <w:rPr>
                <w:sz w:val="22"/>
                <w:szCs w:val="22"/>
                <w:color w:val="auto"/>
              </w:rPr>
            </w:pPr>
          </w:p>
        </w:tc>
        <w:tc>
          <w:tcPr>
            <w:tcW w:w="8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(3,131)</w:t>
            </w:r>
          </w:p>
        </w:tc>
        <w:tc>
          <w:tcPr>
            <w:tcW w:w="20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(4,759)</w:t>
            </w:r>
          </w:p>
        </w:tc>
        <w:tc>
          <w:tcPr>
            <w:tcW w:w="100" w:type="dxa"/>
            <w:vAlign w:val="bottom"/>
            <w:shd w:val="clear" w:color="auto" w:fill="CCEEFF"/>
          </w:tcPr>
          <w:p>
            <w:pPr>
              <w:spacing w:after="0"/>
              <w:rPr>
                <w:sz w:val="22"/>
                <w:szCs w:val="22"/>
                <w:color w:val="auto"/>
              </w:rPr>
            </w:pPr>
          </w:p>
        </w:tc>
      </w:tr>
      <w:tr>
        <w:trPr>
          <w:trHeight w:val="169"/>
        </w:trPr>
        <w:tc>
          <w:tcPr>
            <w:tcW w:w="8820" w:type="dxa"/>
            <w:vAlign w:val="bottom"/>
            <w:tcBorders>
              <w:top w:val="single" w:sz="8" w:color="CCEEFF"/>
            </w:tcBorders>
            <w:gridSpan w:val="4"/>
          </w:tcPr>
          <w:p>
            <w:pPr>
              <w:ind w:left="180"/>
              <w:spacing w:after="0" w:line="170" w:lineRule="exact"/>
              <w:rPr>
                <w:sz w:val="20"/>
                <w:szCs w:val="20"/>
                <w:color w:val="auto"/>
              </w:rPr>
            </w:pPr>
            <w:r>
              <w:rPr>
                <w:rFonts w:ascii="Times New Roman" w:cs="Times New Roman" w:eastAsia="Times New Roman" w:hAnsi="Times New Roman"/>
                <w:sz w:val="18"/>
                <w:szCs w:val="18"/>
                <w:color w:val="auto"/>
              </w:rPr>
              <w:t>Cash Flows from Investment Activities:</w:t>
            </w:r>
          </w:p>
        </w:tc>
        <w:tc>
          <w:tcPr>
            <w:tcW w:w="11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
        </w:trPr>
        <w:tc>
          <w:tcPr>
            <w:tcW w:w="180" w:type="dxa"/>
            <w:vAlign w:val="bottom"/>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8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8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Interest received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8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short term bank deposits, net of investments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(22,845)</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(19,844)</w:t>
            </w:r>
          </w:p>
        </w:tc>
      </w:tr>
      <w:tr>
        <w:trPr>
          <w:trHeight w:val="27"/>
        </w:trPr>
        <w:tc>
          <w:tcPr>
            <w:tcW w:w="18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(22,961)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(20,025)</w:t>
            </w:r>
          </w:p>
        </w:tc>
      </w:tr>
      <w:tr>
        <w:trPr>
          <w:trHeight w:val="21"/>
        </w:trPr>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864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1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IIA grants, net of repayments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8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8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Exchange rate differences on cash and cash equivalent balances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
        </w:trPr>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(24,715)</w:t>
            </w:r>
          </w:p>
        </w:tc>
        <w:tc>
          <w:tcPr>
            <w:tcW w:w="100" w:type="dxa"/>
            <w:vAlign w:val="bottom"/>
            <w:shd w:val="clear" w:color="auto" w:fill="CCEEFF"/>
          </w:tcPr>
          <w:p>
            <w:pPr>
              <w:spacing w:after="0"/>
              <w:rPr>
                <w:sz w:val="18"/>
                <w:szCs w:val="18"/>
                <w:color w:val="auto"/>
              </w:rPr>
            </w:pPr>
          </w:p>
        </w:tc>
      </w:tr>
      <w:tr>
        <w:trPr>
          <w:trHeight w:val="223"/>
        </w:trPr>
        <w:tc>
          <w:tcPr>
            <w:tcW w:w="8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Balance of cash and cash equivalents at the beginning of the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28,866</w:t>
            </w:r>
          </w:p>
        </w:tc>
      </w:tr>
      <w:tr>
        <w:trPr>
          <w:trHeight w:val="257"/>
        </w:trPr>
        <w:tc>
          <w:tcPr>
            <w:tcW w:w="882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of cash and cash equivalents at the end of the period</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9,991</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42"/>
        </w:trPr>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17" w:right="2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MEDIWOUND LTD. AND ITS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2018</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IN THOUSANDS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608"/>
        </w:trPr>
        <w:tc>
          <w:tcPr>
            <w:tcW w:w="60" w:type="dxa"/>
            <w:vAlign w:val="bottom"/>
          </w:tcPr>
          <w:p>
            <w:pPr>
              <w:spacing w:after="0"/>
              <w:rPr>
                <w:sz w:val="24"/>
                <w:szCs w:val="24"/>
                <w:color w:val="auto"/>
              </w:rPr>
            </w:pPr>
          </w:p>
        </w:tc>
        <w:tc>
          <w:tcPr>
            <w:tcW w:w="9800" w:type="dxa"/>
            <w:vAlign w:val="bottom"/>
            <w:gridSpan w:val="6"/>
          </w:tcPr>
          <w:p>
            <w:pPr>
              <w:spacing w:after="0"/>
              <w:rPr>
                <w:rFonts w:ascii="Times New Roman" w:cs="Times New Roman" w:eastAsia="Times New Roman" w:hAnsi="Times New Roman"/>
                <w:sz w:val="18"/>
                <w:szCs w:val="18"/>
                <w:b w:val="1"/>
                <w:bCs w:val="1"/>
                <w:color w:val="0000EE"/>
              </w:rPr>
            </w:pPr>
            <w:hyperlink w:anchor="page13">
              <w:r>
                <w:rPr>
                  <w:rFonts w:ascii="Times New Roman" w:cs="Times New Roman" w:eastAsia="Times New Roman" w:hAnsi="Times New Roman"/>
                  <w:sz w:val="18"/>
                  <w:szCs w:val="18"/>
                  <w:b w:val="1"/>
                  <w:bCs w:val="1"/>
                  <w:color w:val="0000EE"/>
                </w:rPr>
                <w:t>Condensed Interim Consolidated Balance Sheets</w:t>
              </w:r>
            </w:hyperlink>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F-2</w:t>
            </w:r>
          </w:p>
        </w:tc>
      </w:tr>
      <w:tr>
        <w:trPr>
          <w:trHeight w:val="20"/>
        </w:trPr>
        <w:tc>
          <w:tcPr>
            <w:tcW w:w="6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9800" w:type="dxa"/>
            <w:vAlign w:val="bottom"/>
            <w:gridSpan w:val="6"/>
          </w:tcPr>
          <w:p>
            <w:pPr>
              <w:spacing w:after="0"/>
              <w:rPr>
                <w:rFonts w:ascii="Times New Roman" w:cs="Times New Roman" w:eastAsia="Times New Roman" w:hAnsi="Times New Roman"/>
                <w:sz w:val="18"/>
                <w:szCs w:val="18"/>
                <w:b w:val="1"/>
                <w:bCs w:val="1"/>
                <w:color w:val="0000EE"/>
              </w:rPr>
            </w:pPr>
            <w:hyperlink w:anchor="page14">
              <w:r>
                <w:rPr>
                  <w:rFonts w:ascii="Times New Roman" w:cs="Times New Roman" w:eastAsia="Times New Roman" w:hAnsi="Times New Roman"/>
                  <w:sz w:val="18"/>
                  <w:szCs w:val="18"/>
                  <w:b w:val="1"/>
                  <w:bCs w:val="1"/>
                  <w:color w:val="0000EE"/>
                </w:rPr>
                <w:t>Condensed Interim Consolidated Statements of Comprehensive Loss</w:t>
              </w:r>
            </w:hyperlink>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F-3</w:t>
            </w:r>
          </w:p>
        </w:tc>
      </w:tr>
      <w:tr>
        <w:trPr>
          <w:trHeight w:val="20"/>
        </w:trPr>
        <w:tc>
          <w:tcPr>
            <w:tcW w:w="60" w:type="dxa"/>
            <w:vAlign w:val="bottom"/>
          </w:tcPr>
          <w:p>
            <w:pPr>
              <w:spacing w:after="0" w:line="20" w:lineRule="exact"/>
              <w:rPr>
                <w:sz w:val="1"/>
                <w:szCs w:val="1"/>
                <w:color w:val="auto"/>
              </w:rPr>
            </w:pPr>
          </w:p>
        </w:tc>
        <w:tc>
          <w:tcPr>
            <w:tcW w:w="4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9800" w:type="dxa"/>
            <w:vAlign w:val="bottom"/>
            <w:gridSpan w:val="6"/>
          </w:tcPr>
          <w:p>
            <w:pPr>
              <w:spacing w:after="0"/>
              <w:rPr>
                <w:rFonts w:ascii="Times New Roman" w:cs="Times New Roman" w:eastAsia="Times New Roman" w:hAnsi="Times New Roman"/>
                <w:sz w:val="18"/>
                <w:szCs w:val="18"/>
                <w:b w:val="1"/>
                <w:bCs w:val="1"/>
                <w:color w:val="0000EE"/>
              </w:rPr>
            </w:pPr>
            <w:hyperlink w:anchor="page15">
              <w:r>
                <w:rPr>
                  <w:rFonts w:ascii="Times New Roman" w:cs="Times New Roman" w:eastAsia="Times New Roman" w:hAnsi="Times New Roman"/>
                  <w:sz w:val="18"/>
                  <w:szCs w:val="18"/>
                  <w:b w:val="1"/>
                  <w:bCs w:val="1"/>
                  <w:color w:val="0000EE"/>
                </w:rPr>
                <w:t>Condensed Interim Consolidated Statements of Changes in Shareholders' Equity</w:t>
              </w:r>
            </w:hyperlink>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F-4 - F-5</w:t>
            </w:r>
          </w:p>
        </w:tc>
      </w:tr>
      <w:tr>
        <w:trPr>
          <w:trHeight w:val="412"/>
        </w:trPr>
        <w:tc>
          <w:tcPr>
            <w:tcW w:w="60" w:type="dxa"/>
            <w:vAlign w:val="bottom"/>
          </w:tcPr>
          <w:p>
            <w:pPr>
              <w:spacing w:after="0"/>
              <w:rPr>
                <w:sz w:val="24"/>
                <w:szCs w:val="24"/>
                <w:color w:val="auto"/>
              </w:rPr>
            </w:pPr>
          </w:p>
        </w:tc>
        <w:tc>
          <w:tcPr>
            <w:tcW w:w="45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b w:val="1"/>
                <w:bCs w:val="1"/>
                <w:color w:val="0000EE"/>
                <w:w w:val="99"/>
              </w:rPr>
            </w:pPr>
            <w:hyperlink w:anchor="page17">
              <w:r>
                <w:rPr>
                  <w:rFonts w:ascii="Times New Roman" w:cs="Times New Roman" w:eastAsia="Times New Roman" w:hAnsi="Times New Roman"/>
                  <w:sz w:val="18"/>
                  <w:szCs w:val="18"/>
                  <w:b w:val="1"/>
                  <w:bCs w:val="1"/>
                  <w:color w:val="0000EE"/>
                  <w:w w:val="99"/>
                </w:rPr>
                <w:t>Condensed Interim Consolidated Statements of Cash Flows</w:t>
              </w:r>
            </w:hyperlink>
          </w:p>
        </w:tc>
        <w:tc>
          <w:tcPr>
            <w:tcW w:w="1640" w:type="dxa"/>
            <w:vAlign w:val="bottom"/>
            <w:tcBorders>
              <w:top w:val="single" w:sz="8" w:color="0000EE"/>
            </w:tcBorders>
            <w:gridSpan w:val="3"/>
          </w:tcPr>
          <w:p>
            <w:pPr>
              <w:spacing w:after="0"/>
              <w:rPr>
                <w:sz w:val="24"/>
                <w:szCs w:val="24"/>
                <w:color w:val="auto"/>
              </w:rPr>
            </w:pPr>
          </w:p>
        </w:tc>
        <w:tc>
          <w:tcPr>
            <w:tcW w:w="36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F-6 – F-7</w:t>
            </w:r>
          </w:p>
        </w:tc>
      </w:tr>
      <w:tr>
        <w:trPr>
          <w:trHeight w:val="412"/>
        </w:trPr>
        <w:tc>
          <w:tcPr>
            <w:tcW w:w="60" w:type="dxa"/>
            <w:vAlign w:val="bottom"/>
          </w:tcPr>
          <w:p>
            <w:pPr>
              <w:spacing w:after="0"/>
              <w:rPr>
                <w:sz w:val="24"/>
                <w:szCs w:val="24"/>
                <w:color w:val="auto"/>
              </w:rPr>
            </w:pPr>
          </w:p>
        </w:tc>
        <w:tc>
          <w:tcPr>
            <w:tcW w:w="9800" w:type="dxa"/>
            <w:vAlign w:val="bottom"/>
            <w:gridSpan w:val="6"/>
          </w:tcPr>
          <w:p>
            <w:pPr>
              <w:spacing w:after="0"/>
              <w:rPr>
                <w:rFonts w:ascii="Times New Roman" w:cs="Times New Roman" w:eastAsia="Times New Roman" w:hAnsi="Times New Roman"/>
                <w:sz w:val="18"/>
                <w:szCs w:val="18"/>
                <w:b w:val="1"/>
                <w:bCs w:val="1"/>
                <w:color w:val="0000EE"/>
              </w:rPr>
            </w:pPr>
            <w:hyperlink w:anchor="page19">
              <w:r>
                <w:rPr>
                  <w:rFonts w:ascii="Times New Roman" w:cs="Times New Roman" w:eastAsia="Times New Roman" w:hAnsi="Times New Roman"/>
                  <w:sz w:val="18"/>
                  <w:szCs w:val="18"/>
                  <w:b w:val="1"/>
                  <w:bCs w:val="1"/>
                  <w:color w:val="0000EE"/>
                </w:rPr>
                <w:t>Notes to Condensed Interim Consolidated Financial Statements</w:t>
              </w:r>
            </w:hyperlink>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F-8 - F-11</w:t>
            </w:r>
          </w:p>
        </w:tc>
      </w:tr>
      <w:tr>
        <w:trPr>
          <w:trHeight w:val="473"/>
        </w:trPr>
        <w:tc>
          <w:tcPr>
            <w:tcW w:w="60" w:type="dxa"/>
            <w:vAlign w:val="bottom"/>
            <w:tcBorders>
              <w:bottom w:val="single" w:sz="8" w:color="auto"/>
            </w:tcBorders>
          </w:tcPr>
          <w:p>
            <w:pPr>
              <w:spacing w:after="0"/>
              <w:rPr>
                <w:sz w:val="24"/>
                <w:szCs w:val="24"/>
                <w:color w:val="auto"/>
              </w:rPr>
            </w:pPr>
          </w:p>
        </w:tc>
        <w:tc>
          <w:tcPr>
            <w:tcW w:w="372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44" w:right="2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72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7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36,069</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bank deposits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22,912</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receivables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r>
      <w:tr>
        <w:trPr>
          <w:trHeight w:val="223"/>
        </w:trPr>
        <w:tc>
          <w:tcPr>
            <w:tcW w:w="20" w:type="dxa"/>
            <w:vAlign w:val="bottom"/>
          </w:tcPr>
          <w:p>
            <w:pPr>
              <w:spacing w:after="0"/>
              <w:rPr>
                <w:sz w:val="19"/>
                <w:szCs w:val="19"/>
                <w:color w:val="auto"/>
              </w:rPr>
            </w:pP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receivables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3,196</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38,205</w:t>
            </w: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29,496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41,520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ASSETS:</w:t>
            </w: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term deposits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w:t>
            </w:r>
          </w:p>
        </w:tc>
      </w:tr>
      <w:tr>
        <w:trPr>
          <w:trHeight w:val="223"/>
        </w:trPr>
        <w:tc>
          <w:tcPr>
            <w:tcW w:w="20" w:type="dxa"/>
            <w:vAlign w:val="bottom"/>
          </w:tcPr>
          <w:p>
            <w:pPr>
              <w:spacing w:after="0"/>
              <w:rPr>
                <w:sz w:val="19"/>
                <w:szCs w:val="19"/>
                <w:color w:val="auto"/>
              </w:rPr>
            </w:pP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40,800</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31,626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44,135</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3,251</w:t>
            </w: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payables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2,182</w:t>
            </w: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5,433</w:t>
            </w: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w:t>
            </w: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r>
      <w:tr>
        <w:trPr>
          <w:trHeight w:val="216"/>
        </w:trPr>
        <w:tc>
          <w:tcPr>
            <w:tcW w:w="20" w:type="dxa"/>
            <w:vAlign w:val="bottom"/>
          </w:tcPr>
          <w:p>
            <w:pPr>
              <w:spacing w:after="0"/>
              <w:rPr>
                <w:sz w:val="18"/>
                <w:szCs w:val="18"/>
                <w:color w:val="auto"/>
              </w:rPr>
            </w:pP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in respect of IIA grants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for the purchase of shares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r>
      <w:tr>
        <w:trPr>
          <w:trHeight w:val="216"/>
        </w:trPr>
        <w:tc>
          <w:tcPr>
            <w:tcW w:w="20" w:type="dxa"/>
            <w:vAlign w:val="bottom"/>
          </w:tcPr>
          <w:p>
            <w:pPr>
              <w:spacing w:after="0"/>
              <w:rPr>
                <w:sz w:val="18"/>
                <w:szCs w:val="18"/>
                <w:color w:val="auto"/>
              </w:rPr>
            </w:pP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in respect of discontinued operation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6,003</w:t>
            </w: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 liability, net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29,478</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22,758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29,082</w:t>
            </w: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Ordinary shares of NIS 0.01 par value: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4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Authorized: 32,244,508 shares as of March 31, 2018, December 31, 2017 and March 31, 2017;</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27,047,737 as of March 31, 2018 and December 31, 2017 and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21,930,449 as of March 31, 2017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premium</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115,307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138,992</w:t>
            </w:r>
          </w:p>
        </w:tc>
      </w:tr>
      <w:tr>
        <w:trPr>
          <w:trHeight w:val="216"/>
        </w:trPr>
        <w:tc>
          <w:tcPr>
            <w:tcW w:w="20" w:type="dxa"/>
            <w:vAlign w:val="bottom"/>
          </w:tcPr>
          <w:p>
            <w:pPr>
              <w:spacing w:after="0"/>
              <w:rPr>
                <w:sz w:val="18"/>
                <w:szCs w:val="18"/>
                <w:color w:val="auto"/>
              </w:rPr>
            </w:pP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(134,209)</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(111,574)</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(129,409)</w:t>
            </w: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9,620</w:t>
            </w: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31,626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44,135</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8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interim financial statements.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21"/>
        </w:trPr>
        <w:tc>
          <w:tcPr>
            <w:tcW w:w="20" w:type="dxa"/>
            <w:vAlign w:val="bottom"/>
          </w:tcPr>
          <w:p>
            <w:pPr>
              <w:spacing w:after="0"/>
              <w:rPr>
                <w:sz w:val="24"/>
                <w:szCs w:val="24"/>
                <w:color w:val="auto"/>
              </w:rPr>
            </w:pPr>
          </w:p>
        </w:tc>
        <w:tc>
          <w:tcPr>
            <w:tcW w:w="742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F-2</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657" w:right="2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7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 of participations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(3,714)</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(3,663)</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(764)</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(4,314)</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Items to be reclassified to profit or loss in subsequent periods: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(4,561)</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(4,317)</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 from continuing operations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from discontinued operations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Basic and diluted net loss per share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used in the computation of basic and diluted loss per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(in thousands):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21,930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interim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 w:name="page15"/>
    <w:bookmarkEnd w:id="14"/>
    <w:p>
      <w:pPr>
        <w:ind w:left="7700"/>
        <w:spacing w:after="0"/>
        <w:rPr>
          <w:sz w:val="20"/>
          <w:szCs w:val="20"/>
          <w:color w:val="auto"/>
        </w:rPr>
      </w:pPr>
      <w:r>
        <w:rPr>
          <w:rFonts w:ascii="Times New Roman" w:cs="Times New Roman" w:eastAsia="Times New Roman" w:hAnsi="Times New Roman"/>
          <w:sz w:val="17"/>
          <w:szCs w:val="17"/>
          <w:b w:val="1"/>
          <w:bCs w:val="1"/>
          <w:color w:val="auto"/>
        </w:rPr>
        <w:t>MEDIWOUND LTD. AND ITS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260" w:type="dxa"/>
            <w:vAlign w:val="bottom"/>
            <w:gridSpan w:val="2"/>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(129,409)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adjustment on accumulated deficit as a result</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adopting IFRS 15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2018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138,992</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(129,658)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(4,551)</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2018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139,210</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(134,209)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5,028</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260" w:type="dxa"/>
            <w:vAlign w:val="bottom"/>
            <w:gridSpan w:val="2"/>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114,979</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(107,260)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(4,314)</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2017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115,307</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(111,574)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3,781</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interim financial statements.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F-4</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15" w:name="page16"/>
    <w:bookmarkEnd w:id="15"/>
    <w:p>
      <w:pPr>
        <w:ind w:left="7700"/>
        <w:spacing w:after="0"/>
        <w:rPr>
          <w:sz w:val="20"/>
          <w:szCs w:val="20"/>
          <w:color w:val="auto"/>
        </w:rPr>
      </w:pPr>
      <w:r>
        <w:rPr>
          <w:rFonts w:ascii="Times New Roman" w:cs="Times New Roman" w:eastAsia="Times New Roman" w:hAnsi="Times New Roman"/>
          <w:sz w:val="17"/>
          <w:szCs w:val="17"/>
          <w:b w:val="1"/>
          <w:bCs w:val="1"/>
          <w:color w:val="auto"/>
        </w:rPr>
        <w:t>MEDIWOUND LTD. AND ITS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2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114,979</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(107,260)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(22,149)</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(22,149)</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of NIS 0.01 par value net of</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expenses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22,643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138,992</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(129,409)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Represents an amount lower than $1.</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6" w:name="page17"/>
    <w:bookmarkEnd w:id="16"/>
    <w:p>
      <w:pPr>
        <w:ind w:left="7700"/>
        <w:spacing w:after="0"/>
        <w:rPr>
          <w:sz w:val="20"/>
          <w:szCs w:val="20"/>
          <w:color w:val="auto"/>
        </w:rPr>
      </w:pPr>
      <w:r>
        <w:rPr>
          <w:rFonts w:ascii="Times New Roman" w:cs="Times New Roman" w:eastAsia="Times New Roman" w:hAnsi="Times New Roman"/>
          <w:sz w:val="17"/>
          <w:szCs w:val="17"/>
          <w:b w:val="1"/>
          <w:bCs w:val="1"/>
          <w:color w:val="auto"/>
        </w:rPr>
        <w:t>MEDIWOUND LTD. AND ITS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7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shd w:val="clear" w:color="auto" w:fill="CCEEFF"/>
              </w:rPr>
              <w:t>Cash Flows from Operating Activities:</w:t>
            </w:r>
          </w:p>
        </w:tc>
        <w:tc>
          <w:tcPr>
            <w:tcW w:w="262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400" w:type="dxa"/>
            <w:vAlign w:val="bottom"/>
            <w:tcBorders>
              <w:top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(4,551)</w:t>
            </w:r>
          </w:p>
        </w:tc>
        <w:tc>
          <w:tcPr>
            <w:tcW w:w="34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(4,314)</w:t>
            </w:r>
          </w:p>
        </w:tc>
        <w:tc>
          <w:tcPr>
            <w:tcW w:w="12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profit and loss items:</w:t>
            </w: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from discontinued operation</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Revaluation of liabilities in respect of IIA grants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Revaluation of contingent consideration for the purchase of shares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Increase in severance pay liability, net</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financing income</w:t>
            </w:r>
          </w:p>
        </w:tc>
        <w:tc>
          <w:tcPr>
            <w:tcW w:w="3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Un-realized foreign currency (gain) loss</w:t>
            </w:r>
          </w:p>
        </w:tc>
        <w:tc>
          <w:tcPr>
            <w:tcW w:w="20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asset and liability items:</w:t>
            </w: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Decrease (increase) in trade receivables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Decrease (increase) in other receivables</w:t>
            </w:r>
          </w:p>
        </w:tc>
        <w:tc>
          <w:tcPr>
            <w:tcW w:w="3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trade payables and accrued expenses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(decrease) in other payables and deferred   revenues</w:t>
            </w:r>
          </w:p>
        </w:tc>
        <w:tc>
          <w:tcPr>
            <w:tcW w:w="20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(2,065)</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3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(3,131)</w:t>
            </w: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(4,759)</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discontinued operating activities</w:t>
            </w:r>
          </w:p>
        </w:tc>
        <w:tc>
          <w:tcPr>
            <w:tcW w:w="20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(3,131)</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(4,759)</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tc>
        <w:tc>
          <w:tcPr>
            <w:tcW w:w="2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F-6</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17" w:name="page18"/>
    <w:bookmarkEnd w:id="17"/>
    <w:p>
      <w:pPr>
        <w:ind w:left="7700"/>
        <w:spacing w:after="0"/>
        <w:rPr>
          <w:sz w:val="20"/>
          <w:szCs w:val="20"/>
          <w:color w:val="auto"/>
        </w:rPr>
      </w:pPr>
      <w:r>
        <w:rPr>
          <w:rFonts w:ascii="Times New Roman" w:cs="Times New Roman" w:eastAsia="Times New Roman" w:hAnsi="Times New Roman"/>
          <w:sz w:val="17"/>
          <w:szCs w:val="17"/>
          <w:b w:val="1"/>
          <w:bCs w:val="1"/>
          <w:color w:val="auto"/>
        </w:rPr>
        <w:t>MEDIWOUND LTD. AND ITS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shd w:val="clear" w:color="auto" w:fill="CCEEFF"/>
              </w:rPr>
              <w:t>Cash Flows from Investing Activities:</w:t>
            </w:r>
          </w:p>
        </w:tc>
        <w:tc>
          <w:tcPr>
            <w:tcW w:w="4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1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(investment in) short term bank deposits, net</w:t>
            </w:r>
          </w:p>
        </w:tc>
        <w:tc>
          <w:tcPr>
            <w:tcW w:w="19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(22,845)</w:t>
            </w: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(22,961)</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(20,025)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
        </w:trPr>
        <w:tc>
          <w:tcPr>
            <w:tcW w:w="2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9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120" w:type="dxa"/>
            <w:vAlign w:val="bottom"/>
            <w:tcBorders>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 net</w:t>
            </w:r>
          </w:p>
        </w:tc>
        <w:tc>
          <w:tcPr>
            <w:tcW w:w="31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the IIA grants, net of re-payment</w:t>
            </w:r>
          </w:p>
        </w:tc>
        <w:tc>
          <w:tcPr>
            <w:tcW w:w="19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9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22,995</w:t>
            </w:r>
          </w:p>
        </w:tc>
        <w:tc>
          <w:tcPr>
            <w:tcW w:w="0" w:type="dxa"/>
            <w:vAlign w:val="bottom"/>
          </w:tcPr>
          <w:p>
            <w:pPr>
              <w:spacing w:after="0"/>
              <w:rPr>
                <w:sz w:val="1"/>
                <w:szCs w:val="1"/>
                <w:color w:val="auto"/>
              </w:rPr>
            </w:pPr>
          </w:p>
        </w:tc>
      </w:tr>
      <w:tr>
        <w:trPr>
          <w:trHeight w:val="21"/>
        </w:trPr>
        <w:tc>
          <w:tcPr>
            <w:tcW w:w="2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rate differences on cash and cash equivalent balances</w:t>
            </w:r>
          </w:p>
        </w:tc>
        <w:tc>
          <w:tcPr>
            <w:tcW w:w="3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
        </w:trPr>
        <w:tc>
          <w:tcPr>
            <w:tcW w:w="2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 from continuing activities</w:t>
            </w:r>
          </w:p>
        </w:tc>
        <w:tc>
          <w:tcPr>
            <w:tcW w:w="3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(26,078)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(24,715)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cash and cash equivalents from discontinued activities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and cash equivalents at the beginning of the period</w:t>
            </w:r>
          </w:p>
        </w:tc>
        <w:tc>
          <w:tcPr>
            <w:tcW w:w="194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28,866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and cash equivalents at the end of the period</w:t>
            </w:r>
          </w:p>
        </w:tc>
        <w:tc>
          <w:tcPr>
            <w:tcW w:w="194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tc>
        <w:tc>
          <w:tcPr>
            <w:tcW w:w="1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F-7</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83" w:lineRule="exact"/>
        <w:rPr>
          <w:sz w:val="20"/>
          <w:szCs w:val="20"/>
          <w:color w:val="auto"/>
        </w:rPr>
      </w:pPr>
    </w:p>
    <w:p>
      <w:pPr>
        <w:ind w:left="1520" w:hanging="499"/>
        <w:spacing w:after="0"/>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description of the company and its operations:</w:t>
      </w:r>
    </w:p>
    <w:p>
      <w:pPr>
        <w:spacing w:after="0" w:line="279" w:lineRule="exact"/>
        <w:rPr>
          <w:rFonts w:ascii="Times New Roman" w:cs="Times New Roman" w:eastAsia="Times New Roman" w:hAnsi="Times New Roman"/>
          <w:sz w:val="18"/>
          <w:szCs w:val="18"/>
          <w:color w:val="auto"/>
        </w:rPr>
      </w:pPr>
    </w:p>
    <w:p>
      <w:pPr>
        <w:jc w:val="both"/>
        <w:ind w:left="1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MediWound Ltd. (the "Company" or "MediWound"), is a fully integrated biopharmaceutical company focused on developing, manufacturing and commercializing novel products to address unmet needs in the fields of severe burns, as well as chronic and other hard to heal wounds, connective tissue disorders and other indications.</w:t>
      </w:r>
    </w:p>
    <w:p>
      <w:pPr>
        <w:spacing w:after="0" w:line="230" w:lineRule="exact"/>
        <w:rPr>
          <w:rFonts w:ascii="Times New Roman" w:cs="Times New Roman" w:eastAsia="Times New Roman" w:hAnsi="Times New Roman"/>
          <w:sz w:val="18"/>
          <w:szCs w:val="18"/>
          <w:color w:val="auto"/>
        </w:rPr>
      </w:pPr>
    </w:p>
    <w:p>
      <w:pPr>
        <w:jc w:val="both"/>
        <w:ind w:left="1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innovative biopharmaceutical product, NexoBrid, received marketing authorization from the European Medicines Agency ("EMA") and the Israeli and Argentinean ministries of health for removal of dead or damaged tissue, known as eschar, in adults with deep partial and full thickness thermal burns. The Company sells NexoBrid in Europe and in Israel through its commercial organization and in other territories through local distributers.</w:t>
      </w:r>
    </w:p>
    <w:p>
      <w:pPr>
        <w:spacing w:after="0" w:line="234" w:lineRule="exact"/>
        <w:rPr>
          <w:rFonts w:ascii="Times New Roman" w:cs="Times New Roman" w:eastAsia="Times New Roman" w:hAnsi="Times New Roman"/>
          <w:sz w:val="18"/>
          <w:szCs w:val="18"/>
          <w:color w:val="auto"/>
        </w:rPr>
      </w:pPr>
    </w:p>
    <w:p>
      <w:pPr>
        <w:jc w:val="both"/>
        <w:ind w:left="1520" w:hanging="499"/>
        <w:spacing w:after="0" w:line="266" w:lineRule="auto"/>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two wholly owned subsidiaries: MediWound Germany GmbH, acting as Europe (“EU”) marketing authorization holder and EU sales and marketing arm and MediWound UK Limited, an inactive company. In addition, the Company owns approximately 8% of PolyHeal Ltd., a private life sciences company ("PolyHeal").</w:t>
      </w:r>
    </w:p>
    <w:p>
      <w:pPr>
        <w:spacing w:after="0" w:line="230" w:lineRule="exact"/>
        <w:rPr>
          <w:rFonts w:ascii="Times New Roman" w:cs="Times New Roman" w:eastAsia="Times New Roman" w:hAnsi="Times New Roman"/>
          <w:sz w:val="18"/>
          <w:szCs w:val="18"/>
          <w:color w:val="auto"/>
        </w:rPr>
      </w:pPr>
    </w:p>
    <w:p>
      <w:pPr>
        <w:jc w:val="both"/>
        <w:ind w:left="1520" w:hanging="499"/>
        <w:spacing w:after="0" w:line="266" w:lineRule="auto"/>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securities are listed for trading on NASDAQ since March 2014. In September, 2017, the Company completed a follow-on public offering. A total of 5,037,664 new ordinary shares were issued in consideration to net proceeds of $22,658, after deducting underwriter’s discounts, commissions and other offering expenses.</w:t>
      </w:r>
    </w:p>
    <w:p>
      <w:pPr>
        <w:spacing w:after="0" w:line="230" w:lineRule="exact"/>
        <w:rPr>
          <w:rFonts w:ascii="Times New Roman" w:cs="Times New Roman" w:eastAsia="Times New Roman" w:hAnsi="Times New Roman"/>
          <w:sz w:val="18"/>
          <w:szCs w:val="18"/>
          <w:color w:val="auto"/>
        </w:rPr>
      </w:pPr>
    </w:p>
    <w:p>
      <w:pPr>
        <w:jc w:val="both"/>
        <w:ind w:left="1520" w:hanging="499"/>
        <w:spacing w:after="0" w:line="255" w:lineRule="auto"/>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contract with the U.S. Biomedical Advanced Research and Development Authority ("BARDA"), which was modified on July 2017, for the advancement of the development and manufacturing, as well as the procurement of NexoBrid, as a medical countermeasure as part of BARDA preparedness for mass casualty events. The modified contract includes $56,000 of funding to support development activities to complete the U.S. Food and Drug Administration (FDA) approval process for NexoBrid for use in thermal burn injuries, as well as $16,000 for procurement of NexoBrid, which is contingent upon FDA Emergency Use Authorization (EUA) and/or FDA marketing authorization for NexoBrid. In addition, the contract includes options for further funding of up to $10,000 for expanding NexoBrid’s indications and of up to $50,000 for additional procurement of NexoBrid.</w:t>
      </w:r>
    </w:p>
    <w:p>
      <w:pPr>
        <w:spacing w:after="0" w:line="24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2018 the Company recorded $17,750 in funding from BARDA under the contract.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accounting policies have been applied consistently in the financial statements for all periods presented unless otherwise stated.</w:t>
      </w:r>
    </w:p>
    <w:p>
      <w:pPr>
        <w:spacing w:after="0" w:line="279" w:lineRule="exact"/>
        <w:rPr>
          <w:sz w:val="20"/>
          <w:szCs w:val="20"/>
          <w:color w:val="auto"/>
        </w:rPr>
      </w:pPr>
    </w:p>
    <w:p>
      <w:pPr>
        <w:ind w:left="1520" w:hanging="499"/>
        <w:spacing w:after="0"/>
        <w:tabs>
          <w:tab w:leader="none" w:pos="1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of financial statements:</w:t>
      </w:r>
    </w:p>
    <w:p>
      <w:pPr>
        <w:spacing w:after="0" w:line="279" w:lineRule="exact"/>
        <w:rPr>
          <w:rFonts w:ascii="Times New Roman" w:cs="Times New Roman" w:eastAsia="Times New Roman" w:hAnsi="Times New Roman"/>
          <w:sz w:val="18"/>
          <w:szCs w:val="18"/>
          <w:color w:val="auto"/>
        </w:rPr>
      </w:pPr>
    </w:p>
    <w:p>
      <w:pPr>
        <w:ind w:left="15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financial statements have been prepared in accordance with International Financial Reporting Standards ("IFRS") as issued by the International Accounting Standards Board ("IASB").</w:t>
      </w:r>
    </w:p>
    <w:p>
      <w:pPr>
        <w:spacing w:after="0" w:line="256" w:lineRule="exact"/>
        <w:rPr>
          <w:rFonts w:ascii="Times New Roman" w:cs="Times New Roman" w:eastAsia="Times New Roman" w:hAnsi="Times New Roman"/>
          <w:sz w:val="18"/>
          <w:szCs w:val="18"/>
          <w:color w:val="auto"/>
        </w:rPr>
      </w:pPr>
    </w:p>
    <w:p>
      <w:pPr>
        <w:ind w:left="1660" w:hanging="631"/>
        <w:spacing w:after="0"/>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preparation of the interim consolidated financial statements:</w:t>
      </w:r>
    </w:p>
    <w:p>
      <w:pPr>
        <w:spacing w:after="0" w:line="293"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18"/>
          <w:szCs w:val="18"/>
          <w:color w:val="auto"/>
        </w:rPr>
        <w:t>The interim condensed consolidated financial statements for the three months ended March 31, 2018 have been prepared in accordance with IAS 34 "Interim Financial Reporting".</w:t>
      </w:r>
    </w:p>
    <w:p>
      <w:pPr>
        <w:spacing w:after="0" w:line="162"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The interim condensed consolidated financial statements do not include all the information and disclosures required in the annual financial statements, and should be read in conjunction with the Company's annual financial statements as of December 31, 2017 that were included in the Annual Report on Form 20-F filed on March 19, 2018.</w:t>
      </w:r>
    </w:p>
    <w:p>
      <w:pPr>
        <w:spacing w:after="0" w:line="230"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2017 that were included in the Annual Report on Form 20-F filed on March 19, 2018, except than the change discussed below.</w:t>
      </w:r>
    </w:p>
    <w:p>
      <w:pPr>
        <w:spacing w:after="0" w:line="271" w:lineRule="exact"/>
        <w:rPr>
          <w:sz w:val="20"/>
          <w:szCs w:val="20"/>
          <w:color w:val="auto"/>
        </w:rPr>
      </w:pPr>
    </w:p>
    <w:p>
      <w:pPr>
        <w:ind w:left="1700" w:hanging="671"/>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significant accounting policies</w:t>
      </w:r>
    </w:p>
    <w:p>
      <w:pPr>
        <w:spacing w:after="0" w:line="29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IFRS 15, "Revenue from Contracts with Customers":</w:t>
      </w:r>
    </w:p>
    <w:p>
      <w:pPr>
        <w:spacing w:after="0" w:line="279"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IFRS 15 establishes a comprehensive framework for determining whether, how much and when revenue is recognized. It replaced IAS 18 Revenue, IAS 11 Construction Contracts and related interpretations and it applies to all revenue arising from contracts with customers, unless those contracts are in the scope of other standards.</w:t>
      </w:r>
    </w:p>
    <w:p>
      <w:pPr>
        <w:spacing w:after="0" w:line="230"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The new standard establishes a five-step model to account for revenue arising from contracts with customers. Under IFRS 15, revenue is recognized at an amount that reflects the consideration to which an entity expects to be entitled in exchange for transferring goods or services to a customer.</w:t>
      </w:r>
    </w:p>
    <w:p>
      <w:pPr>
        <w:spacing w:after="0" w:line="176" w:lineRule="exact"/>
        <w:rPr>
          <w:sz w:val="20"/>
          <w:szCs w:val="20"/>
          <w:color w:val="auto"/>
        </w:rPr>
      </w:pPr>
    </w:p>
    <w:p>
      <w:pPr>
        <w:jc w:val="both"/>
        <w:ind w:left="1540" w:right="20"/>
        <w:spacing w:after="0" w:line="282" w:lineRule="auto"/>
        <w:rPr>
          <w:sz w:val="20"/>
          <w:szCs w:val="20"/>
          <w:color w:val="auto"/>
        </w:rPr>
      </w:pPr>
      <w:r>
        <w:rPr>
          <w:rFonts w:ascii="Times New Roman" w:cs="Times New Roman" w:eastAsia="Times New Roman" w:hAnsi="Times New Roman"/>
          <w:sz w:val="18"/>
          <w:szCs w:val="18"/>
          <w:color w:val="auto"/>
        </w:rPr>
        <w:t>The standard requires entities to exercise judgment, taking into consideration all of the relevant facts and circumstances when applying each step of the model to contracts with their customers.</w:t>
      </w:r>
    </w:p>
    <w:p>
      <w:pPr>
        <w:spacing w:after="0" w:line="16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Company generates revenues from direct and indirect sales of its products and from license agreements with its distributors.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0" w:name="page21"/>
    <w:bookmarkEnd w:id="20"/>
    <w:p>
      <w:pPr>
        <w:ind w:left="7700"/>
        <w:spacing w:after="0"/>
        <w:rPr>
          <w:sz w:val="20"/>
          <w:szCs w:val="20"/>
          <w:color w:val="auto"/>
        </w:rPr>
      </w:pPr>
      <w:r>
        <w:rPr>
          <w:rFonts w:ascii="Times New Roman" w:cs="Times New Roman" w:eastAsia="Times New Roman" w:hAnsi="Times New Roman"/>
          <w:sz w:val="17"/>
          <w:szCs w:val="17"/>
          <w:b w:val="1"/>
          <w:bCs w:val="1"/>
          <w:color w:val="auto"/>
        </w:rPr>
        <w:t>MEDIWOUND LTD. AND ITS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SIGNIFICANT ACCOUNTING POLICIES (Cont.)</w:t>
      </w:r>
    </w:p>
    <w:p>
      <w:pPr>
        <w:spacing w:after="0" w:line="283" w:lineRule="exact"/>
        <w:rPr>
          <w:sz w:val="20"/>
          <w:szCs w:val="20"/>
          <w:color w:val="auto"/>
        </w:rPr>
      </w:pPr>
    </w:p>
    <w:p>
      <w:pPr>
        <w:ind w:left="2040" w:hanging="506"/>
        <w:spacing w:after="0"/>
        <w:tabs>
          <w:tab w:leader="none" w:pos="2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products:</w:t>
      </w:r>
    </w:p>
    <w:p>
      <w:pPr>
        <w:spacing w:after="0" w:line="279" w:lineRule="exact"/>
        <w:rPr>
          <w:rFonts w:ascii="Times New Roman" w:cs="Times New Roman" w:eastAsia="Times New Roman" w:hAnsi="Times New Roman"/>
          <w:sz w:val="18"/>
          <w:szCs w:val="18"/>
          <w:color w:val="auto"/>
        </w:rPr>
      </w:pPr>
    </w:p>
    <w:p>
      <w:pPr>
        <w:jc w:val="both"/>
        <w:ind w:left="20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contracts with customers for the sale of products which generally include one performance obligation. The Company has concluded that revenue from sale of products should be recognized at the point in time when control of the asset is transferred to the customer, generally on delivery of the products. Therefore, the adoption of IFRS 15 did not have an impact on the timing of revenue recognition.</w:t>
      </w:r>
    </w:p>
    <w:p>
      <w:pPr>
        <w:spacing w:after="0" w:line="234" w:lineRule="exact"/>
        <w:rPr>
          <w:rFonts w:ascii="Times New Roman" w:cs="Times New Roman" w:eastAsia="Times New Roman" w:hAnsi="Times New Roman"/>
          <w:sz w:val="18"/>
          <w:szCs w:val="18"/>
          <w:color w:val="auto"/>
        </w:rPr>
      </w:pPr>
    </w:p>
    <w:p>
      <w:pPr>
        <w:ind w:left="2040" w:hanging="506"/>
        <w:spacing w:after="0"/>
        <w:tabs>
          <w:tab w:leader="none" w:pos="2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distribution agreements with Multiple- element:</w:t>
      </w:r>
    </w:p>
    <w:p>
      <w:pPr>
        <w:spacing w:after="0" w:line="279" w:lineRule="exact"/>
        <w:rPr>
          <w:rFonts w:ascii="Times New Roman" w:cs="Times New Roman" w:eastAsia="Times New Roman" w:hAnsi="Times New Roman"/>
          <w:sz w:val="18"/>
          <w:szCs w:val="18"/>
          <w:color w:val="auto"/>
        </w:rPr>
      </w:pPr>
    </w:p>
    <w:p>
      <w:pPr>
        <w:jc w:val="both"/>
        <w:ind w:left="20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new Standard, entities need to determine whether the licenses for intellectual property is distinct from other goods and services included in the contract. An analysis of the Company's contracts with its distributors indicates that in the majority of contracts, the Company grants its distributors a right to access its intellectual property as it exists throughout the license period. Accordingly, the Company is expected to recognize revenue from the granting of licenses over the license period, which is identical to the current accounting treatment.</w:t>
      </w:r>
    </w:p>
    <w:p>
      <w:pPr>
        <w:spacing w:after="0" w:line="237" w:lineRule="exact"/>
        <w:rPr>
          <w:rFonts w:ascii="Times New Roman" w:cs="Times New Roman" w:eastAsia="Times New Roman" w:hAnsi="Times New Roman"/>
          <w:sz w:val="18"/>
          <w:szCs w:val="18"/>
          <w:color w:val="auto"/>
        </w:rPr>
      </w:pPr>
    </w:p>
    <w:p>
      <w:pPr>
        <w:jc w:val="both"/>
        <w:ind w:left="20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accordance with terms of some license agreements, the Company is entitled for up-front payments which are accounted for as deferred revenues and recognized in profit and loss over the license period. According to the new Standard, when long-term advances (exceeding one year) are received for a future service, the Company is required to accrue interest and recognize finance expense on the advances over the period of the contract. Under the legacy revenue recognition guidance the Company did not recognize finance expenses in respect of deferred revenue.</w:t>
      </w:r>
    </w:p>
    <w:p>
      <w:pPr>
        <w:spacing w:after="0" w:line="238" w:lineRule="exact"/>
        <w:rPr>
          <w:sz w:val="20"/>
          <w:szCs w:val="20"/>
          <w:color w:val="auto"/>
        </w:rPr>
      </w:pPr>
    </w:p>
    <w:p>
      <w:pPr>
        <w:jc w:val="both"/>
        <w:ind w:left="1540"/>
        <w:spacing w:after="0" w:line="256" w:lineRule="auto"/>
        <w:rPr>
          <w:sz w:val="20"/>
          <w:szCs w:val="20"/>
          <w:color w:val="auto"/>
        </w:rPr>
      </w:pPr>
      <w:r>
        <w:rPr>
          <w:rFonts w:ascii="Times New Roman" w:cs="Times New Roman" w:eastAsia="Times New Roman" w:hAnsi="Times New Roman"/>
          <w:sz w:val="18"/>
          <w:szCs w:val="18"/>
          <w:color w:val="auto"/>
        </w:rPr>
        <w:t>On January 1, 2018, the Company adopted the new standard for all its distribution agreements at the date of initial application, and applied the standard using the modified retrospective approach, with the cumulative effect of applying the new guidance recognized as an adjustment to the opening accumulated deficit balance. Results for reporting periods beginning after January 1, 2018 are presented under the new Standart, while prior period amounts are not adjusted and continue to be reported under the accounting standards in effect for the prior period. The Company recorded a net increase to opening accumulated deficit of $249 as of January 1, 2018 due to the cumulative impact of adopting the new guidance and in increase of deferred revenues by $249.</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1" w:name="page22"/>
    <w:bookmarkEnd w:id="21"/>
    <w:p>
      <w:pPr>
        <w:ind w:left="7700"/>
        <w:spacing w:after="0"/>
        <w:rPr>
          <w:sz w:val="20"/>
          <w:szCs w:val="20"/>
          <w:color w:val="auto"/>
        </w:rPr>
      </w:pPr>
      <w:r>
        <w:rPr>
          <w:rFonts w:ascii="Times New Roman" w:cs="Times New Roman" w:eastAsia="Times New Roman" w:hAnsi="Times New Roman"/>
          <w:sz w:val="17"/>
          <w:szCs w:val="17"/>
          <w:b w:val="1"/>
          <w:bCs w:val="1"/>
          <w:color w:val="auto"/>
        </w:rPr>
        <w:t>MEDIWOUND LTD. AND ITS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SIGNIFICANT ACCOUNTING POLICIES (Cont.)</w:t>
      </w:r>
    </w:p>
    <w:p>
      <w:pPr>
        <w:spacing w:after="0" w:line="283"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impacts of adopting IFRS 15 on the Company’s interim statement of financial position as of March 31, 2018 and its interim consolidated statements of comprehensive loss for the three months period ended March 31, 2018 for each of the line items affected.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Impact on the condensed interim consolidated statement of financial position: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194"/>
        </w:trPr>
        <w:tc>
          <w:tcPr>
            <w:tcW w:w="6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without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adoption of</w:t>
            </w: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8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IFRS 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(134,209)</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281</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(133,928)</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40" w:right="1800" w:firstLine="510"/>
        <w:spacing w:after="0" w:line="561" w:lineRule="auto"/>
        <w:tabs>
          <w:tab w:leader="none" w:pos="2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short term deferred revenues classified in other payable and long term deferred revenues. Impact on the condensed interim consolidated statement of profit or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Amounts</w:t>
            </w:r>
          </w:p>
        </w:tc>
      </w:tr>
      <w:tr>
        <w:trPr>
          <w:trHeight w:val="216"/>
        </w:trPr>
        <w:tc>
          <w:tcPr>
            <w:tcW w:w="1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without</w:t>
            </w:r>
          </w:p>
        </w:tc>
      </w:tr>
      <w:tr>
        <w:trPr>
          <w:trHeight w:val="216"/>
        </w:trPr>
        <w:tc>
          <w:tcPr>
            <w:tcW w:w="1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adoption of</w:t>
            </w:r>
          </w:p>
        </w:tc>
      </w:tr>
      <w:tr>
        <w:trPr>
          <w:trHeight w:val="245"/>
        </w:trPr>
        <w:tc>
          <w:tcPr>
            <w:tcW w:w="13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8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IFRS 15</w:t>
            </w:r>
          </w:p>
        </w:tc>
        <w:tc>
          <w:tcPr>
            <w:tcW w:w="100" w:type="dxa"/>
            <w:vAlign w:val="bottom"/>
          </w:tcPr>
          <w:p>
            <w:pPr>
              <w:spacing w:after="0"/>
              <w:rPr>
                <w:sz w:val="21"/>
                <w:szCs w:val="21"/>
                <w:color w:val="auto"/>
              </w:rPr>
            </w:pPr>
          </w:p>
        </w:tc>
      </w:tr>
      <w:tr>
        <w:trPr>
          <w:trHeight w:val="216"/>
        </w:trPr>
        <w:tc>
          <w:tcPr>
            <w:tcW w:w="1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22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223"/>
        </w:trPr>
        <w:tc>
          <w:tcPr>
            <w:tcW w:w="13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4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w:t>
            </w:r>
          </w:p>
        </w:tc>
      </w:tr>
      <w:tr>
        <w:trPr>
          <w:trHeight w:val="257"/>
        </w:trPr>
        <w:tc>
          <w:tcPr>
            <w:tcW w:w="138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9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3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Basic and diluted net loss per share</w:t>
            </w:r>
          </w:p>
        </w:tc>
        <w:tc>
          <w:tcPr>
            <w:tcW w:w="29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1"/>
        </w:trPr>
        <w:tc>
          <w:tcPr>
            <w:tcW w:w="1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20" w:type="dxa"/>
            <w:vAlign w:val="bottom"/>
            <w:gridSpan w:val="3"/>
          </w:tcPr>
          <w:p>
            <w:pPr>
              <w:jc w:val="right"/>
              <w:ind w:right="3280"/>
              <w:spacing w:after="0"/>
              <w:rPr>
                <w:sz w:val="20"/>
                <w:szCs w:val="20"/>
                <w:color w:val="auto"/>
              </w:rPr>
            </w:pPr>
            <w:r>
              <w:rPr>
                <w:rFonts w:ascii="Times New Roman" w:cs="Times New Roman" w:eastAsia="Times New Roman" w:hAnsi="Times New Roman"/>
                <w:sz w:val="18"/>
                <w:szCs w:val="18"/>
                <w:color w:val="auto"/>
              </w:rPr>
              <w:t>F-11</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138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r>
        <w:trPr>
          <w:trHeight w:val="163"/>
        </w:trPr>
        <w:tc>
          <w:tcPr>
            <w:tcW w:w="13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420"/>
      </w:cols>
      <w:pgMar w:left="240" w:top="3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2019-12-08T09:28:19Z</dcterms:created>
  <dcterms:modified xsi:type="dcterms:W3CDTF">2019-12-08T09:28:19Z</dcterms:modified>
</cp:coreProperties>
</file>