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84"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______________________</w:t>
      </w:r>
    </w:p>
    <w:p>
      <w:pPr>
        <w:spacing w:after="0" w:line="270" w:lineRule="exact"/>
        <w:rPr>
          <w:sz w:val="24"/>
          <w:szCs w:val="24"/>
          <w:color w:val="auto"/>
        </w:rPr>
      </w:pPr>
    </w:p>
    <w:p>
      <w:pPr>
        <w:ind w:left="4440"/>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REPORT OF FOREIGN PRIVATE ISSUER</w:t>
      </w:r>
    </w:p>
    <w:p>
      <w:pPr>
        <w:spacing w:after="0" w:line="27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13a-16 or 15d-16 of the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Securities Exchange Act of 1934</w:t>
      </w:r>
    </w:p>
    <w:p>
      <w:pPr>
        <w:spacing w:after="0" w:line="261"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month of November 2018</w:t>
      </w:r>
    </w:p>
    <w:p>
      <w:pPr>
        <w:spacing w:after="0" w:line="279"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Commission File Number: 001-36349</w:t>
      </w:r>
    </w:p>
    <w:p>
      <w:pPr>
        <w:spacing w:after="0" w:line="279" w:lineRule="exact"/>
        <w:rPr>
          <w:sz w:val="24"/>
          <w:szCs w:val="24"/>
          <w:color w:val="auto"/>
        </w:rPr>
      </w:pPr>
    </w:p>
    <w:p>
      <w:pPr>
        <w:jc w:val="center"/>
        <w:ind w:right="-540"/>
        <w:spacing w:after="0"/>
        <w:rPr>
          <w:sz w:val="20"/>
          <w:szCs w:val="20"/>
          <w:color w:val="auto"/>
        </w:rPr>
      </w:pPr>
      <w:r>
        <w:rPr>
          <w:rFonts w:ascii="Arial" w:cs="Arial" w:eastAsia="Arial" w:hAnsi="Arial"/>
          <w:sz w:val="29"/>
          <w:szCs w:val="29"/>
          <w:b w:val="1"/>
          <w:bCs w:val="1"/>
          <w:u w:val="single" w:color="auto"/>
          <w:color w:val="auto"/>
        </w:rPr>
        <w:t>MediWound Ltd.</w:t>
      </w:r>
    </w:p>
    <w:p>
      <w:pPr>
        <w:spacing w:after="0" w:line="3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42 Hayarkon Street</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Yavne, 8122745 Israel</w:t>
      </w: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7" w:lineRule="exact"/>
        <w:rPr>
          <w:sz w:val="24"/>
          <w:szCs w:val="24"/>
          <w:color w:val="auto"/>
        </w:rPr>
      </w:pPr>
    </w:p>
    <w:p>
      <w:pPr>
        <w:ind w:left="3800"/>
        <w:spacing w:after="0" w:line="207" w:lineRule="exact"/>
        <w:tabs>
          <w:tab w:leader="none" w:pos="53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w:t>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483870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81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13, 2018, MediWound Ltd. (the “Company”) issued a press release entitled “MediWound Reports Third Quarter 2018 Financial Results”. A copy of this press release is attached to this Form 6-K as Exhibit 99.1.</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pursuant to the Information Rights Agreement between the Company and Clal Biotechnology Industries Ltd. ("CBI"), dated March 3, 2014 (which was attached to the Company's registration statement as exhibit 4.3), the Company is required to provide CBI with certain information necessary for CBI to meet its obligations under Israeli Securities Law. This Form 6-K includes an Un-Audited Condensed Consolidated Interim Financial Statements as of September 30, 2018, attached as Exhibit 99.2, which was provided by the Company to CBI on November 12, 2018 pursuant to such contractual obligation.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MEDIWOUND LTD.</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Sharon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Name:Sharon Malka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Financial Officer</w:t>
      </w:r>
    </w:p>
    <w:p>
      <w:pPr>
        <w:spacing w:after="0" w:line="379"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391" w:right="71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Form 6-K: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760" w:type="dxa"/>
            <w:vAlign w:val="bottom"/>
          </w:tcPr>
          <w:p>
            <w:pPr>
              <w:spacing w:after="0"/>
              <w:rPr>
                <w:sz w:val="17"/>
                <w:szCs w:val="17"/>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6"/>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Press release dated November 13, 2018 titled “MediWound Reports Third Quarter 2018 Financial Results”.</w:t>
            </w:r>
          </w:p>
        </w:tc>
      </w:tr>
      <w:tr>
        <w:trPr>
          <w:trHeight w:val="466"/>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7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Un-Audited Condensed Consolidated Interim Financial Statements as of September 30, 2018.</w:t>
            </w: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35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172085</wp:posOffset>
            </wp:positionV>
            <wp:extent cx="1724025" cy="540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MediWound Reports Third Quarter 2018 Financial Results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Awarded additional BARDA contract valued up to $43 Million for the development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of NexoBrid</w:t>
      </w:r>
      <w:r>
        <w:rPr>
          <w:rFonts w:ascii="Arial" w:cs="Arial" w:eastAsia="Arial" w:hAnsi="Arial"/>
          <w:sz w:val="30"/>
          <w:szCs w:val="30"/>
          <w:color w:val="auto"/>
          <w:vertAlign w:val="superscript"/>
        </w:rPr>
        <w:t>®</w:t>
      </w:r>
      <w:r>
        <w:rPr>
          <w:rFonts w:ascii="Arial" w:cs="Arial" w:eastAsia="Arial" w:hAnsi="Arial"/>
          <w:sz w:val="18"/>
          <w:szCs w:val="18"/>
          <w:i w:val="1"/>
          <w:iCs w:val="1"/>
          <w:color w:val="auto"/>
        </w:rPr>
        <w:t xml:space="preserve"> for sulfur mustard injuries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begins today at 8:30 a.m. Eastern Time</w:t>
      </w:r>
    </w:p>
    <w:p>
      <w:pPr>
        <w:spacing w:after="0" w:line="275"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YAVNE, Israel (November 13, 2018) – </w:t>
      </w:r>
      <w:r>
        <w:rPr>
          <w:rFonts w:ascii="Arial" w:cs="Arial" w:eastAsia="Arial" w:hAnsi="Arial"/>
          <w:sz w:val="16"/>
          <w:szCs w:val="16"/>
          <w:color w:val="auto"/>
        </w:rPr>
        <w:t>MediWound Ltd. (Nasdaq: MDWD), a fully-integrated biopharmaceutical company bringing innovative therapies to</w:t>
      </w:r>
      <w:r>
        <w:rPr>
          <w:rFonts w:ascii="Arial" w:cs="Arial" w:eastAsia="Arial" w:hAnsi="Arial"/>
          <w:sz w:val="16"/>
          <w:szCs w:val="16"/>
          <w:b w:val="1"/>
          <w:bCs w:val="1"/>
          <w:color w:val="auto"/>
        </w:rPr>
        <w:t xml:space="preserve"> </w:t>
      </w:r>
      <w:r>
        <w:rPr>
          <w:rFonts w:ascii="Arial" w:cs="Arial" w:eastAsia="Arial" w:hAnsi="Arial"/>
          <w:sz w:val="16"/>
          <w:szCs w:val="16"/>
          <w:color w:val="auto"/>
        </w:rPr>
        <w:t>address unmet needs in severe burn and wound management, today announced financial results for the three and nine months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2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for the third quarter of 2018 were $0.9 million, a 16% increase from $0.7 million in the third quarter of 2017</w:t>
      </w:r>
    </w:p>
    <w:p>
      <w:pPr>
        <w:spacing w:after="0" w:line="9" w:lineRule="exact"/>
        <w:rPr>
          <w:rFonts w:ascii="Arial" w:cs="Arial" w:eastAsia="Arial" w:hAnsi="Arial"/>
          <w:sz w:val="18"/>
          <w:szCs w:val="18"/>
          <w:color w:val="auto"/>
        </w:rPr>
      </w:pPr>
    </w:p>
    <w:p>
      <w:pPr>
        <w:ind w:left="660" w:right="20" w:hanging="328"/>
        <w:spacing w:after="0" w:line="18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MediWound Awarded Additional Biomedical Advanced Research and Development Authority (BARDA) Contract Valued Up to $43 Million for Development of 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Sulfur Mustard Injuries</w:t>
      </w:r>
    </w:p>
    <w:p>
      <w:pPr>
        <w:spacing w:after="0" w:line="1" w:lineRule="exact"/>
        <w:rPr>
          <w:rFonts w:ascii="Arial" w:cs="Arial" w:eastAsia="Arial" w:hAnsi="Arial"/>
          <w:sz w:val="18"/>
          <w:szCs w:val="18"/>
          <w:color w:val="auto"/>
        </w:rPr>
      </w:pPr>
    </w:p>
    <w:p>
      <w:pPr>
        <w:ind w:left="660" w:hanging="328"/>
        <w:spacing w:after="0" w:line="18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received marketing authorization from Russian’s Ministry of Health. Genfa Medica S.A., MediWound’s exclusive distribution partner in Russia, intends to launch NexoBrid in the first half of 2019</w:t>
      </w:r>
    </w:p>
    <w:p>
      <w:pPr>
        <w:spacing w:after="0" w:line="25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“This has been an active quarter, and we continue to make progress on numerous fronts. We were very pleased to have been awarded an additional BARDA contract for the development of NexoBrid</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Sulfur Mustard injuries,” commented Gal Cohen, MediWound’s President and Chief Executive Officer. “The contract provides approximately $12 million of funding to support research and development activities up to pivotal studies in animals, under the U.S. Food and Drug Administration (FDA) Animal Rule, allowing for marketing approval based on animal studies. It also includes options for additional funding of up to $31 million for additional and subsequent development activities, including animal pivotal studies and FDA Biologics License Application (BLA) submission.”</w:t>
      </w:r>
    </w:p>
    <w:p>
      <w:pPr>
        <w:spacing w:after="0" w:line="252"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“Now that the last enrolled patient in our NexoBrid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Phase 3 DETECT study has completed the acute treatment and entered the follow-up period, we look forward to announcing top line results in January 2019,” added Mr. Cohen. “Additionally, we continue to recruit patients in the U.S. and Europe for our expanded NexoBrid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Phase 3 CIDS study in children after receiving both FDA concurrence on the protocol and BARDA funding. As planned, we have submitted our pivotal protocol for clinical development of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 the FDA, and we recently met with the Agency. We had a constructive discussion, received concurrence on many aspects, and suggested additional secondary efficacy endpoints on which we were requested to provide additional information. We plan to submit, the information, and subject to FDA concurrence, to initiate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clinical development program in the first half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 w:name="page6"/>
    <w:bookmarkEnd w:id="5"/>
    <w:p>
      <w:pPr>
        <w:jc w:val="both"/>
        <w:spacing w:after="0"/>
        <w:rPr>
          <w:sz w:val="20"/>
          <w:szCs w:val="20"/>
          <w:color w:val="auto"/>
        </w:rPr>
      </w:pPr>
      <w:r>
        <w:rPr>
          <w:rFonts w:ascii="Arial" w:cs="Arial" w:eastAsia="Arial" w:hAnsi="Arial"/>
          <w:sz w:val="17"/>
          <w:szCs w:val="17"/>
          <w:color w:val="auto"/>
        </w:rPr>
        <w:t>“Finally, we were also happy to receive marketing authorization from the Russian Ministry of Health to sell NexoBrid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to patients with deep partial and full-thickness thermal burns. This authorization augments additional clearances we have secured from the European Medicines Agency (EMA) and from the Israeli, Argentinian and South Korea’s Ministries of Health for the same indication. It also further validates our strategy of using the EMA approved registration file for seeking approval in international markets through collaboration with local companies that possess the expertise in the local regulatory, market access and marketing efforts, and assume the financial commitment and diligence,” concluded Mr. Cohen.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Stephen T. Wills, MediWound's Chairman, added, "As we have discussed in our prior earnings calls, MediWound was approached earlier this year by a third party to consider a potential strategic transaction. Subsequently, we engaged an investment bank to help us review the proposal and advise in our discussions. We commenced discussions, and thereafter, received approaches and engaged in discussions and diligence with other strategic parties on different strategic transaction scenarios. At this stage, we continue to be in discussions and diligence with a subset of those parties. The Board continues to be advised by Moelis</w:t>
      </w:r>
    </w:p>
    <w:p>
      <w:pPr>
        <w:spacing w:after="0" w:line="2" w:lineRule="exact"/>
        <w:rPr>
          <w:sz w:val="20"/>
          <w:szCs w:val="20"/>
          <w:color w:val="auto"/>
        </w:rPr>
      </w:pPr>
    </w:p>
    <w:p>
      <w:pPr>
        <w:ind w:firstLine="8"/>
        <w:spacing w:after="0" w:line="261" w:lineRule="auto"/>
        <w:tabs>
          <w:tab w:leader="none" w:pos="186"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regarding evaluation and assessment of all strategic options and avenues. As we have said, there can be no assurances that a definitive agreement between the parties or any other agreement will be reached.”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third quarter of 2018 were $0.9 million, an increase of 16% compared to $0.7 million of revenues for the third quarter of 2017.</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third quarter of 2018 was $0.5 million, compared to a gross profit of $0.4 million for the third quarter of 2017.</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for the third quarter of 2018, net of participations, were $1.1 million, increase of 26% compared with $0.8 million for the third quarter of 2017. The increase was as a result of an increase of $1.5 million in the gross research and development expenses, which was offset by an increase of $1.2 million in participation, primarily by BARDA.</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for the third quarter of 2018 were $1.6 million, compared with $2.4 million for the third quarter of 2017.</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loss for the third quarter of 2018 was $2.2 million, an improvement of 20% from $2.8 million in the third quarter of 2017, as a result of the decrease in operating expenses.</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posted a net loss of $2.9 million, or ($0.11) per share, for the third quarter of 2018 compared with a net loss of $11.0 million, or ($0.49) per share, for the third quarter of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loss in 2017 included one-time loss from discontinued operation in the amount of $7.5 million as a result of the district court ruling and a full provision for the PolyHeal's shares purchase price plus the accrued interest.</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as defined below, for the third quarter of 2018 was a loss of $2.0 million, compared with a loss of $2.3 million for the third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Year-to-Date 2018 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nine months of 2018 were $2.4 million compared with $2.0 million for the first nine months of 2017, an increase of 23%.</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for the first nine months of 2018 was $1.0 million, compared with a gross profit of $0.8 million in the prior year period, reflecting a gross margin of 40%.</w:t>
      </w:r>
    </w:p>
    <w:p>
      <w:pPr>
        <w:spacing w:after="0" w:line="224"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Research and development expenses, net of participations, were $3.8 million for the first nine months of 2018, compared with $4.3 million for the first nine months of 2017. The decrease in research and development, net, was as a result of an increase of $3.8 million primarily in NexoBrid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clinical trials expenses, which was offset by an increase of $4.3 million in participations in the Company’s R&amp;D expenses, primarily by BARDA.</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 the first nine months of 2018 were $5.8 million compared with $6.7 million in the prior year period.</w:t>
      </w: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for the first nine months of 2018 was $9.2 million, down 9% from $10.2 in the first nine months of 2017. Operating expenses in the first nine months of 2018 included other one-time expenses of $0.7 million associated with review and analysis of potential strategic transactions. The decrease in operating loss was primarily due to the increased revenues and the decrease in operating expenses in the first nine months of 2018 compared to the prior year period, which was offset by one-time other expenses as mentioned above.</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nine months ended September 30, 2018, the Company posted a net loss of $11.7 million, or ($0.43) per share, compared with a net loss of $19.8 million, or ($0.89) per share, for the same period in 2017. The Company's net loss in 2017 included one-time loss from discontinued operation in the amount of $7.5 million as a result of the district court ruling and a full provision for the PolyHeal's shares purchase price.</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as defined below, for the nine months of 2018 was a loss of $7.6 million, compared with a loss of $8.7 million for the first nine months of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2018, the Company had cash, cash equivalents and short-term bank deposits of $25.7 million, compared with $36.1 million at December 31, 2017.</w:t>
      </w:r>
    </w:p>
    <w:p>
      <w:pPr>
        <w:spacing w:after="0" w:line="228" w:lineRule="exact"/>
        <w:rPr>
          <w:sz w:val="20"/>
          <w:szCs w:val="20"/>
          <w:color w:val="auto"/>
        </w:rPr>
      </w:pPr>
    </w:p>
    <w:p>
      <w:pPr>
        <w:jc w:val="both"/>
        <w:spacing w:after="0" w:line="211" w:lineRule="auto"/>
        <w:rPr>
          <w:sz w:val="20"/>
          <w:szCs w:val="20"/>
          <w:color w:val="auto"/>
        </w:rPr>
      </w:pPr>
      <w:r>
        <w:rPr>
          <w:rFonts w:ascii="Arial" w:cs="Arial" w:eastAsia="Arial" w:hAnsi="Arial"/>
          <w:sz w:val="17"/>
          <w:szCs w:val="17"/>
          <w:color w:val="auto"/>
        </w:rPr>
        <w:t>For the remainder of 2018, the Company intends to allocate its cash resources to advance the development of EscharEx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while the NexoBrid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development plans are fully funded by BARDA.</w:t>
      </w: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now expect cash use to support ongoing operating activities in 2018 will be in the range of $13 to $14 million, lower than the Company’s previous guidance for 2018 of $14.0 million to $16.0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MediWound management will host a conference call for investors today, Tuesday, November 13, 2018 beginning at 8:30 a.m. Eastern Time to discuss these results and answer questions. Shareholders and other interested parties may participate in the conference call by dialing 800-289-0438 (in the U.S.) 1809 212 883 (Israel), or 323-794-2423 (outside the U.S. &amp; Israel) and entering passcode 8091639. The call also will be broadcast live on the Internet on the Company’s website at </w:t>
      </w:r>
      <w:r>
        <w:rPr>
          <w:rFonts w:ascii="Arial" w:cs="Arial" w:eastAsia="Arial" w:hAnsi="Arial"/>
          <w:sz w:val="18"/>
          <w:szCs w:val="18"/>
          <w:u w:val="single" w:color="auto"/>
          <w:color w:val="auto"/>
        </w:rPr>
        <w:t>http://ir.mediwound.com/events-and-presentations</w:t>
      </w:r>
      <w:r>
        <w:rPr>
          <w:rFonts w:ascii="Arial" w:cs="Arial" w:eastAsia="Arial" w:hAnsi="Arial"/>
          <w:sz w:val="18"/>
          <w:szCs w:val="18"/>
          <w:color w:val="auto"/>
        </w:rPr>
        <w:t>.</w:t>
      </w:r>
    </w:p>
    <w:p>
      <w:pPr>
        <w:spacing w:after="0" w:line="2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A replay of the call will be accessible two hours after its completion through November 27, 2018 by dialing 844-512-2921 (in the U.S.) or 412-317-6671 (outside the U.S.) and entering passcode 8091639. The call will also be archived on the Company website for 90 days at </w:t>
      </w:r>
      <w:r>
        <w:rPr>
          <w:rFonts w:ascii="Arial" w:cs="Arial" w:eastAsia="Arial" w:hAnsi="Arial"/>
          <w:sz w:val="17"/>
          <w:szCs w:val="17"/>
          <w:u w:val="single" w:color="auto"/>
          <w:color w:val="auto"/>
        </w:rPr>
        <w:t>www.mediwound.com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Non-IFRS Financial Measures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one-time expenses, restructuring and share-based compensation expenses.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MediWound Ltd.</w:t>
      </w:r>
    </w:p>
    <w:p>
      <w:pPr>
        <w:spacing w:after="0" w:line="27"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w:t>
      </w:r>
      <w:r>
        <w:rPr>
          <w:rFonts w:ascii="Arial" w:cs="Arial" w:eastAsia="Arial" w:hAnsi="Arial"/>
          <w:sz w:val="28"/>
          <w:szCs w:val="28"/>
          <w:color w:val="auto"/>
          <w:vertAlign w:val="superscript"/>
        </w:rPr>
        <w:t>®</w:t>
      </w:r>
      <w:r>
        <w:rPr>
          <w:rFonts w:ascii="Arial" w:cs="Arial" w:eastAsia="Arial" w:hAnsi="Arial"/>
          <w:sz w:val="17"/>
          <w:szCs w:val="17"/>
          <w:color w:val="auto"/>
        </w:rPr>
        <w:t>, received marketing authorization from the European Medicines Agency as well as the Israeli, Argentinian, South Korean and Russian Ministries of Health, for removal of dead or damaged tissue, known as eschar, in adults with deep partial and full-thickness thermal burns. NexoBrid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represents a new paradigm in burn care management, and clinical trials have demonstrated, with statistical significance, its ability to non-surgically and rapidly remove the eschar earlier and, without harming viable tissues.</w:t>
      </w:r>
    </w:p>
    <w:p>
      <w:pPr>
        <w:spacing w:after="0" w:line="247" w:lineRule="exact"/>
        <w:rPr>
          <w:sz w:val="20"/>
          <w:szCs w:val="20"/>
          <w:color w:val="auto"/>
        </w:rPr>
      </w:pPr>
    </w:p>
    <w:p>
      <w:pPr>
        <w:jc w:val="both"/>
        <w:spacing w:after="0" w:line="208" w:lineRule="auto"/>
        <w:rPr>
          <w:sz w:val="20"/>
          <w:szCs w:val="20"/>
          <w:color w:val="auto"/>
        </w:rPr>
      </w:pPr>
      <w:r>
        <w:rPr>
          <w:rFonts w:ascii="Arial" w:cs="Arial" w:eastAsia="Arial" w:hAnsi="Arial"/>
          <w:sz w:val="16"/>
          <w:szCs w:val="16"/>
          <w:color w:val="auto"/>
        </w:rPr>
        <w:t>MediWound's second innovative product,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topical biological drug being developed for debridement of chronic and other hard-to-heal wounds and is complementary to the large number of existing wound healing products, which require a clean wound bed in order to heal the wound.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contains the same proteolytic enzyme technology as NexoBrid</w:t>
      </w:r>
      <w:r>
        <w:rPr>
          <w:rFonts w:ascii="Arial" w:cs="Arial" w:eastAsia="Arial" w:hAnsi="Arial"/>
          <w:sz w:val="26"/>
          <w:szCs w:val="26"/>
          <w:color w:val="auto"/>
          <w:vertAlign w:val="superscript"/>
        </w:rPr>
        <w:t>®</w:t>
      </w:r>
      <w:r>
        <w:rPr>
          <w:rFonts w:ascii="Arial" w:cs="Arial" w:eastAsia="Arial" w:hAnsi="Arial"/>
          <w:sz w:val="16"/>
          <w:szCs w:val="16"/>
          <w:color w:val="auto"/>
        </w:rPr>
        <w:t>, and benefits from the wealth of existing development data on NexoBrid</w:t>
      </w:r>
      <w:r>
        <w:rPr>
          <w:rFonts w:ascii="Arial" w:cs="Arial" w:eastAsia="Arial" w:hAnsi="Arial"/>
          <w:sz w:val="26"/>
          <w:szCs w:val="26"/>
          <w:color w:val="auto"/>
          <w:vertAlign w:val="superscript"/>
        </w:rPr>
        <w:t>®</w:t>
      </w:r>
      <w:r>
        <w:rPr>
          <w:rFonts w:ascii="Arial" w:cs="Arial" w:eastAsia="Arial" w:hAnsi="Arial"/>
          <w:sz w:val="16"/>
          <w:szCs w:val="16"/>
          <w:color w:val="auto"/>
        </w:rPr>
        <w:t>. In two Phase 2 studies, EscharEx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has demonstrated safety and efficacy in the debridement of chronic and other hard-to-heal wounds, within a few daily applications.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www.mediwound.com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the regulatory authorizations and launch dates.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factors. In particular, you should consider the risks discussed under the heading “Risk Factors” in our annual report on Form 20-F for the year ended December 31, 2017 and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06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Sharon Malka</w:t>
            </w:r>
          </w:p>
        </w:tc>
        <w:tc>
          <w:tcPr>
            <w:tcW w:w="5700" w:type="dxa"/>
            <w:vAlign w:val="bottom"/>
            <w:gridSpan w:val="2"/>
          </w:tcPr>
          <w:p>
            <w:pPr>
              <w:spacing w:after="0"/>
              <w:rPr>
                <w:sz w:val="20"/>
                <w:szCs w:val="20"/>
                <w:color w:val="auto"/>
              </w:rPr>
            </w:pPr>
            <w:r>
              <w:rPr>
                <w:rFonts w:ascii="Arial" w:cs="Arial" w:eastAsia="Arial" w:hAnsi="Arial"/>
                <w:sz w:val="18"/>
                <w:szCs w:val="18"/>
                <w:color w:val="auto"/>
              </w:rPr>
              <w:t>Jeremy Feffer</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Chief Financial and Operations Officer</w:t>
            </w:r>
          </w:p>
        </w:tc>
        <w:tc>
          <w:tcPr>
            <w:tcW w:w="5700" w:type="dxa"/>
            <w:vAlign w:val="bottom"/>
            <w:gridSpan w:val="2"/>
          </w:tcPr>
          <w:p>
            <w:pPr>
              <w:spacing w:after="0"/>
              <w:rPr>
                <w:sz w:val="20"/>
                <w:szCs w:val="20"/>
                <w:color w:val="auto"/>
              </w:rPr>
            </w:pPr>
            <w:r>
              <w:rPr>
                <w:rFonts w:ascii="Arial" w:cs="Arial" w:eastAsia="Arial" w:hAnsi="Arial"/>
                <w:sz w:val="18"/>
                <w:szCs w:val="18"/>
                <w:color w:val="auto"/>
              </w:rPr>
              <w:t>Managing Director, LifeSci Advisors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MediWound Ltd.</w:t>
            </w:r>
          </w:p>
        </w:tc>
        <w:tc>
          <w:tcPr>
            <w:tcW w:w="2060" w:type="dxa"/>
            <w:vAlign w:val="bottom"/>
          </w:tcPr>
          <w:p>
            <w:pPr>
              <w:spacing w:after="0"/>
              <w:rPr>
                <w:sz w:val="20"/>
                <w:szCs w:val="20"/>
                <w:color w:val="auto"/>
              </w:rPr>
            </w:pPr>
            <w:r>
              <w:rPr>
                <w:rFonts w:ascii="Arial" w:cs="Arial" w:eastAsia="Arial" w:hAnsi="Arial"/>
                <w:sz w:val="18"/>
                <w:szCs w:val="18"/>
                <w:color w:val="auto"/>
              </w:rPr>
              <w:t>212-915-2568</w:t>
            </w:r>
          </w:p>
        </w:tc>
        <w:tc>
          <w:tcPr>
            <w:tcW w:w="3640" w:type="dxa"/>
            <w:vAlign w:val="bottom"/>
          </w:tcPr>
          <w:p>
            <w:pPr>
              <w:spacing w:after="0"/>
              <w:rPr>
                <w:sz w:val="18"/>
                <w:szCs w:val="18"/>
                <w:color w:val="auto"/>
              </w:rPr>
            </w:pPr>
          </w:p>
        </w:tc>
      </w:tr>
      <w:tr>
        <w:trPr>
          <w:trHeight w:val="190"/>
        </w:trPr>
        <w:tc>
          <w:tcPr>
            <w:tcW w:w="5720" w:type="dxa"/>
            <w:vAlign w:val="bottom"/>
            <w:gridSpan w:val="2"/>
          </w:tcPr>
          <w:p>
            <w:pPr>
              <w:spacing w:after="0" w:line="190" w:lineRule="exact"/>
              <w:rPr>
                <w:sz w:val="20"/>
                <w:szCs w:val="20"/>
                <w:color w:val="auto"/>
              </w:rPr>
            </w:pPr>
            <w:r>
              <w:rPr>
                <w:rFonts w:ascii="Arial" w:cs="Arial" w:eastAsia="Arial" w:hAnsi="Arial"/>
                <w:sz w:val="18"/>
                <w:szCs w:val="18"/>
                <w:color w:val="auto"/>
              </w:rPr>
              <w:t>ir@mediwound.com</w:t>
            </w: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jeremy@lifesciadvisors.com</w:t>
            </w:r>
          </w:p>
        </w:tc>
      </w:tr>
      <w:tr>
        <w:trPr>
          <w:trHeight w:val="419"/>
        </w:trPr>
        <w:tc>
          <w:tcPr>
            <w:tcW w:w="1480" w:type="dxa"/>
            <w:vAlign w:val="bottom"/>
            <w:tcBorders>
              <w:top w:val="single" w:sz="8" w:color="auto"/>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80" w:type="dxa"/>
            <w:vAlign w:val="bottom"/>
          </w:tcPr>
          <w:p>
            <w:pPr>
              <w:jc w:val="right"/>
              <w:spacing w:after="0"/>
              <w:rPr>
                <w:sz w:val="20"/>
                <w:szCs w:val="20"/>
                <w:color w:val="auto"/>
              </w:rPr>
            </w:pPr>
            <w:r>
              <w:rPr>
                <w:rFonts w:ascii="Arial" w:cs="Arial" w:eastAsia="Arial" w:hAnsi="Arial"/>
                <w:sz w:val="18"/>
                <w:szCs w:val="18"/>
                <w:color w:val="auto"/>
              </w:rPr>
              <w:t>4,704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32,184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46,468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41,520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long term assets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2,573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34,757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49,011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5,888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Liabilities in respect of Israeli Innovation Authority grants net of current maturities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7,850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7,395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for the purchase of shares net of current maturities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6,003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Severance pay liability, net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long term liabilities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30,647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29,082</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Shareholders' equity (deficiency)</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(1,778)</w:t>
            </w: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11,785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34,757</w:t>
            </w:r>
          </w:p>
        </w:tc>
        <w:tc>
          <w:tcPr>
            <w:tcW w:w="200" w:type="dxa"/>
            <w:vAlign w:val="bottom"/>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49,253</w:t>
            </w:r>
          </w:p>
        </w:tc>
        <w:tc>
          <w:tcPr>
            <w:tcW w:w="22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44,135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LOSS (ANAUDITED)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24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1,162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1,013</w:t>
            </w:r>
          </w:p>
        </w:tc>
        <w:tc>
          <w:tcPr>
            <w:tcW w:w="24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24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10,068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Participation by BARDA &amp; IIA</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(10,110)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(5,789)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(3,812)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24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5,797</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6,688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10,253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10,967</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(9,240)</w:t>
            </w:r>
          </w:p>
        </w:tc>
        <w:tc>
          <w:tcPr>
            <w:tcW w:w="24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(10,163)</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(2,240)</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Financial income (expenses), net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(2,420)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(11,660)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(19,780)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(2,944)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(11,004)</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(11,651)</w:t>
            </w:r>
          </w:p>
        </w:tc>
        <w:tc>
          <w:tcPr>
            <w:tcW w:w="240" w:type="dxa"/>
            <w:vAlign w:val="bottom"/>
            <w:tcBorders>
              <w:left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(19,799)</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continuing operations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(0.43)</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Loss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240" w:type="dxa"/>
            <w:vAlign w:val="bottom"/>
            <w:tcBorders>
              <w:left w:val="single" w:sz="8" w:color="CCEEFF"/>
            </w:tcBorders>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Weighted average number of ordinary shares used in the computation of</w:t>
            </w:r>
          </w:p>
        </w:tc>
        <w:tc>
          <w:tcPr>
            <w:tcW w:w="116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(in thousands):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27,092</w:t>
            </w:r>
          </w:p>
        </w:tc>
        <w:tc>
          <w:tcPr>
            <w:tcW w:w="240" w:type="dxa"/>
            <w:vAlign w:val="bottom"/>
            <w:tcBorders>
              <w:left w:val="single" w:sz="8" w:color="CCEEFF"/>
            </w:tcBorders>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22,105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27,179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22,438</w:t>
            </w: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Adjustments: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discontinued operation</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adjustments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(4,031)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(11,059)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(7,629)</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MediWound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shd w:val="clear" w:color="auto" w:fill="CCEEFF"/>
              </w:rPr>
              <w:t>Cash Flows from Operating Activities:</w:t>
            </w:r>
          </w:p>
        </w:tc>
        <w:tc>
          <w:tcPr>
            <w:tcW w:w="6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(11,660)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(19,780)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(2,944)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(11,004)</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60" w:type="dxa"/>
            <w:vAlign w:val="bottom"/>
            <w:gridSpan w:val="5"/>
          </w:tcPr>
          <w:p>
            <w:pPr>
              <w:ind w:left="160"/>
              <w:spacing w:after="0" w:line="201" w:lineRule="exact"/>
              <w:rPr>
                <w:sz w:val="20"/>
                <w:szCs w:val="20"/>
                <w:color w:val="auto"/>
              </w:rPr>
            </w:pPr>
            <w:r>
              <w:rPr>
                <w:rFonts w:ascii="Arial" w:cs="Arial" w:eastAsia="Arial" w:hAnsi="Arial"/>
                <w:sz w:val="18"/>
                <w:szCs w:val="18"/>
                <w:color w:val="auto"/>
              </w:rPr>
              <w:t>Adjustments to reconcile net loss to net cash used in continuing operating</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080" w:type="dxa"/>
            <w:vAlign w:val="bottom"/>
            <w:gridSpan w:val="6"/>
          </w:tcPr>
          <w:p>
            <w:pPr>
              <w:spacing w:after="0"/>
              <w:rPr>
                <w:sz w:val="20"/>
                <w:szCs w:val="20"/>
                <w:color w:val="auto"/>
              </w:rPr>
            </w:pPr>
            <w:r>
              <w:rPr>
                <w:rFonts w:ascii="Arial" w:cs="Arial" w:eastAsia="Arial" w:hAnsi="Arial"/>
                <w:sz w:val="18"/>
                <w:szCs w:val="18"/>
                <w:color w:val="auto"/>
              </w:rPr>
              <w:t>activities: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Adjustments to profit and loss items:</w:t>
            </w: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180"/>
              <w:spacing w:after="0"/>
              <w:rPr>
                <w:sz w:val="20"/>
                <w:szCs w:val="20"/>
                <w:color w:val="auto"/>
              </w:rPr>
            </w:pPr>
            <w:r>
              <w:rPr>
                <w:rFonts w:ascii="Arial" w:cs="Arial" w:eastAsia="Arial" w:hAnsi="Arial"/>
                <w:sz w:val="18"/>
                <w:szCs w:val="18"/>
                <w:color w:val="auto"/>
              </w:rPr>
              <w:t>Loss from discontinued operation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180"/>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347.8</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Revaluation of liabilities in respect of IIA grants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180"/>
              <w:spacing w:after="0"/>
              <w:rPr>
                <w:sz w:val="20"/>
                <w:szCs w:val="20"/>
                <w:color w:val="auto"/>
              </w:rPr>
            </w:pPr>
            <w:r>
              <w:rPr>
                <w:rFonts w:ascii="Arial" w:cs="Arial" w:eastAsia="Arial" w:hAnsi="Arial"/>
                <w:sz w:val="18"/>
                <w:szCs w:val="18"/>
                <w:color w:val="auto"/>
              </w:rPr>
              <w:t>Revaluation of contingent consideration for the purchase of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1,694</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Increase (decrease) in severance liability, net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180"/>
              <w:spacing w:after="0"/>
              <w:rPr>
                <w:sz w:val="20"/>
                <w:szCs w:val="20"/>
                <w:color w:val="auto"/>
              </w:rPr>
            </w:pPr>
            <w:r>
              <w:rPr>
                <w:rFonts w:ascii="Arial" w:cs="Arial" w:eastAsia="Arial" w:hAnsi="Arial"/>
                <w:sz w:val="18"/>
                <w:szCs w:val="18"/>
                <w:color w:val="auto"/>
              </w:rPr>
              <w:t>Financing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Unrealized foreign currency (gain) loss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3,082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10,670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8,426</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Changes in asset and liability items:</w:t>
            </w: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360"/>
              <w:spacing w:after="0"/>
              <w:rPr>
                <w:sz w:val="20"/>
                <w:szCs w:val="20"/>
                <w:color w:val="auto"/>
              </w:rPr>
            </w:pPr>
            <w:r>
              <w:rPr>
                <w:rFonts w:ascii="Arial" w:cs="Arial" w:eastAsia="Arial" w:hAnsi="Arial"/>
                <w:sz w:val="18"/>
                <w:szCs w:val="18"/>
                <w:color w:val="auto"/>
              </w:rPr>
              <w:t>Increase (decrease) in trade receivables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Decrease (increase) in inventories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4"/>
          </w:tcPr>
          <w:p>
            <w:pPr>
              <w:ind w:left="360"/>
              <w:spacing w:after="0"/>
              <w:rPr>
                <w:sz w:val="20"/>
                <w:szCs w:val="20"/>
                <w:color w:val="auto"/>
              </w:rPr>
            </w:pPr>
            <w:r>
              <w:rPr>
                <w:rFonts w:ascii="Arial" w:cs="Arial" w:eastAsia="Arial" w:hAnsi="Arial"/>
                <w:sz w:val="18"/>
                <w:szCs w:val="18"/>
                <w:color w:val="auto"/>
              </w:rPr>
              <w:t>Decrease (increase) in other receivables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(1,321)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(1,271)</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Increase (decrease) in trade payables &amp; accrued expenses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00" w:type="dxa"/>
            <w:vAlign w:val="bottom"/>
            <w:gridSpan w:val="4"/>
          </w:tcPr>
          <w:p>
            <w:pPr>
              <w:ind w:left="360"/>
              <w:spacing w:after="0"/>
              <w:rPr>
                <w:sz w:val="20"/>
                <w:szCs w:val="20"/>
                <w:color w:val="auto"/>
              </w:rPr>
            </w:pPr>
            <w:r>
              <w:rPr>
                <w:rFonts w:ascii="Arial" w:cs="Arial" w:eastAsia="Arial" w:hAnsi="Arial"/>
                <w:sz w:val="18"/>
                <w:szCs w:val="18"/>
                <w:color w:val="auto"/>
              </w:rPr>
              <w:t>Increase (decrease) in other payables &amp; deferred revenues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(1,569)</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(10,147)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(1,329)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(3,052)</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060" w:type="dxa"/>
            <w:vAlign w:val="bottom"/>
            <w:gridSpan w:val="5"/>
          </w:tcPr>
          <w:p>
            <w:pPr>
              <w:ind w:left="160"/>
              <w:spacing w:after="0" w:line="176" w:lineRule="exact"/>
              <w:rPr>
                <w:sz w:val="20"/>
                <w:szCs w:val="20"/>
                <w:color w:val="auto"/>
              </w:rPr>
            </w:pPr>
            <w:r>
              <w:rPr>
                <w:rFonts w:ascii="Arial" w:cs="Arial" w:eastAsia="Arial" w:hAnsi="Arial"/>
                <w:sz w:val="18"/>
                <w:szCs w:val="18"/>
                <w:b w:val="1"/>
                <w:bCs w:val="1"/>
                <w:color w:val="auto"/>
              </w:rPr>
              <w:t>Cash Flows from Investment Activities:</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r>
      <w:tr>
        <w:trPr>
          <w:trHeight w:val="216"/>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color w:val="auto"/>
              </w:rPr>
              <w:t>Purchase of intangible assets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Interest received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color w:val="auto"/>
                <w:w w:val="98"/>
              </w:rPr>
              <w:t>Proceeds from (investment in) short term bank deposits, net of investments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(20,616)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(13,837)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(20,976)</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(14,649)</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60" w:type="dxa"/>
            <w:vAlign w:val="bottom"/>
            <w:gridSpan w:val="5"/>
          </w:tcPr>
          <w:p>
            <w:pPr>
              <w:ind w:left="160"/>
              <w:spacing w:after="0" w:line="170" w:lineRule="exact"/>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Proceeds from exercise of options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color w:val="auto"/>
              </w:rPr>
              <w:t>Proceeds from issuance of shares and warrants, net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22,794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22,792</w:t>
            </w:r>
          </w:p>
        </w:tc>
      </w:tr>
      <w:tr>
        <w:trPr>
          <w:trHeight w:val="216"/>
        </w:trPr>
        <w:tc>
          <w:tcPr>
            <w:tcW w:w="20" w:type="dxa"/>
            <w:vAlign w:val="bottom"/>
          </w:tcPr>
          <w:p>
            <w:pPr>
              <w:spacing w:after="0"/>
              <w:rPr>
                <w:sz w:val="18"/>
                <w:szCs w:val="18"/>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Proceeds from IIA grants, net of repayments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23,129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23,164</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Exchange rate differences on cash and cash equivalent balances</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color w:val="auto"/>
              </w:rPr>
              <w:t>Decrease in cash and cash equivalents from continuing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(31,202)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(3,464)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22,627</w:t>
            </w:r>
          </w:p>
        </w:tc>
      </w:tr>
      <w:tr>
        <w:trPr>
          <w:trHeight w:val="216"/>
        </w:trPr>
        <w:tc>
          <w:tcPr>
            <w:tcW w:w="20" w:type="dxa"/>
            <w:vAlign w:val="bottom"/>
          </w:tcPr>
          <w:p>
            <w:pPr>
              <w:spacing w:after="0"/>
              <w:rPr>
                <w:sz w:val="18"/>
                <w:szCs w:val="18"/>
                <w:color w:val="auto"/>
              </w:rPr>
            </w:pPr>
          </w:p>
        </w:tc>
        <w:tc>
          <w:tcPr>
            <w:tcW w:w="60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w:t>
            </w: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gridSpan w:val="5"/>
          </w:tcPr>
          <w:p>
            <w:pPr>
              <w:ind w:left="160"/>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4,867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25,402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25,402</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99.2</w:t>
            </w:r>
          </w:p>
        </w:tc>
      </w:tr>
      <w:tr>
        <w:trPr>
          <w:trHeight w:val="480"/>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540" w:type="dxa"/>
            <w:vAlign w:val="bottom"/>
            <w:gridSpan w:val="5"/>
          </w:tcPr>
          <w:p>
            <w:pPr>
              <w:jc w:val="center"/>
              <w:ind w:right="2680"/>
              <w:spacing w:after="0"/>
              <w:rPr>
                <w:sz w:val="20"/>
                <w:szCs w:val="20"/>
                <w:color w:val="auto"/>
              </w:rPr>
            </w:pPr>
            <w:r>
              <w:rPr>
                <w:rFonts w:ascii="Arial" w:cs="Arial" w:eastAsia="Arial" w:hAnsi="Arial"/>
                <w:sz w:val="18"/>
                <w:szCs w:val="18"/>
                <w:b w:val="1"/>
                <w:bCs w:val="1"/>
                <w:color w:val="auto"/>
              </w:rPr>
              <w:t>MEDIWOUND LTD. AND ITS SUBSIDIARIES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10260" w:type="dxa"/>
            <w:vAlign w:val="bottom"/>
            <w:gridSpan w:val="6"/>
          </w:tcPr>
          <w:p>
            <w:pPr>
              <w:jc w:val="center"/>
              <w:ind w:left="950"/>
              <w:spacing w:after="0"/>
              <w:rPr>
                <w:sz w:val="20"/>
                <w:szCs w:val="20"/>
                <w:color w:val="auto"/>
              </w:rPr>
            </w:pPr>
            <w:r>
              <w:rPr>
                <w:rFonts w:ascii="Arial" w:cs="Arial" w:eastAsia="Arial" w:hAnsi="Arial"/>
                <w:sz w:val="18"/>
                <w:szCs w:val="18"/>
                <w:b w:val="1"/>
                <w:bCs w:val="1"/>
                <w:color w:val="auto"/>
              </w:rPr>
              <w:t>INTERIM CONDENSED 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540" w:type="dxa"/>
            <w:vAlign w:val="bottom"/>
            <w:gridSpan w:val="5"/>
          </w:tcPr>
          <w:p>
            <w:pPr>
              <w:jc w:val="center"/>
              <w:ind w:right="2660"/>
              <w:spacing w:after="0"/>
              <w:rPr>
                <w:sz w:val="20"/>
                <w:szCs w:val="20"/>
                <w:color w:val="auto"/>
              </w:rPr>
            </w:pPr>
            <w:r>
              <w:rPr>
                <w:rFonts w:ascii="Arial" w:cs="Arial" w:eastAsia="Arial" w:hAnsi="Arial"/>
                <w:sz w:val="18"/>
                <w:szCs w:val="18"/>
                <w:b w:val="1"/>
                <w:bCs w:val="1"/>
                <w:color w:val="auto"/>
                <w:w w:val="95"/>
              </w:rPr>
              <w:t>AS OF SEPTEMBER 30, 2018</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540" w:type="dxa"/>
            <w:vAlign w:val="bottom"/>
            <w:gridSpan w:val="5"/>
          </w:tcPr>
          <w:p>
            <w:pPr>
              <w:jc w:val="center"/>
              <w:ind w:right="2660"/>
              <w:spacing w:after="0"/>
              <w:rPr>
                <w:sz w:val="20"/>
                <w:szCs w:val="20"/>
                <w:color w:val="auto"/>
              </w:rPr>
            </w:pPr>
            <w:r>
              <w:rPr>
                <w:rFonts w:ascii="Arial" w:cs="Arial" w:eastAsia="Arial" w:hAnsi="Arial"/>
                <w:sz w:val="18"/>
                <w:szCs w:val="18"/>
                <w:b w:val="1"/>
                <w:bCs w:val="1"/>
                <w:color w:val="auto"/>
                <w:w w:val="98"/>
              </w:rPr>
              <w:t>U.S. DOLLARS IN THOUSANDS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0" w:type="dxa"/>
            <w:vAlign w:val="bottom"/>
            <w:gridSpan w:val="2"/>
          </w:tcPr>
          <w:p>
            <w:pPr>
              <w:jc w:val="center"/>
              <w:ind w:right="4220"/>
              <w:spacing w:after="0"/>
              <w:rPr>
                <w:sz w:val="20"/>
                <w:szCs w:val="20"/>
                <w:color w:val="auto"/>
              </w:rPr>
            </w:pPr>
            <w:r>
              <w:rPr>
                <w:rFonts w:ascii="Arial" w:cs="Arial" w:eastAsia="Arial" w:hAnsi="Arial"/>
                <w:sz w:val="18"/>
                <w:szCs w:val="18"/>
                <w:b w:val="1"/>
                <w:bCs w:val="1"/>
                <w:color w:val="auto"/>
              </w:rPr>
              <w:t>INDEX</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3"/>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r>
      <w:tr>
        <w:trPr>
          <w:trHeight w:val="392"/>
        </w:trPr>
        <w:tc>
          <w:tcPr>
            <w:tcW w:w="6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Condensed Interim Consolidated Balance Sheets</w:t>
              </w:r>
            </w:hyperlink>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20"/>
        </w:trPr>
        <w:tc>
          <w:tcPr>
            <w:tcW w:w="6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Condensed Interim Consolidated Statements of Comprehensive Loss</w:t>
              </w:r>
            </w:hyperlink>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3</w:t>
            </w:r>
          </w:p>
        </w:tc>
      </w:tr>
      <w:tr>
        <w:trPr>
          <w:trHeight w:val="20"/>
        </w:trPr>
        <w:tc>
          <w:tcPr>
            <w:tcW w:w="60" w:type="dxa"/>
            <w:vAlign w:val="bottom"/>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7180" w:type="dxa"/>
            <w:vAlign w:val="bottom"/>
            <w:tcBorders>
              <w:bottom w:val="single" w:sz="8" w:color="0000EE"/>
            </w:tcBorders>
            <w:gridSpan w:val="5"/>
          </w:tcPr>
          <w:p>
            <w:pPr>
              <w:spacing w:after="0"/>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Condensed Interim Consolidated Statements of Changes in Shareholders' Equity (Deficiency)</w:t>
              </w:r>
            </w:hyperlink>
          </w:p>
        </w:tc>
        <w:tc>
          <w:tcPr>
            <w:tcW w:w="308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4 - 6</w:t>
            </w:r>
          </w:p>
        </w:tc>
      </w:tr>
      <w:tr>
        <w:trPr>
          <w:trHeight w:val="412"/>
        </w:trPr>
        <w:tc>
          <w:tcPr>
            <w:tcW w:w="60" w:type="dxa"/>
            <w:vAlign w:val="bottom"/>
          </w:tcPr>
          <w:p>
            <w:pPr>
              <w:spacing w:after="0"/>
              <w:rPr>
                <w:sz w:val="24"/>
                <w:szCs w:val="24"/>
                <w:color w:val="auto"/>
              </w:rPr>
            </w:pPr>
          </w:p>
        </w:tc>
        <w:tc>
          <w:tcPr>
            <w:tcW w:w="45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Condensed Interim Consolidated Statements of Cash Flows</w:t>
              </w:r>
            </w:hyperlink>
          </w:p>
        </w:tc>
        <w:tc>
          <w:tcPr>
            <w:tcW w:w="5700" w:type="dxa"/>
            <w:vAlign w:val="bottom"/>
            <w:gridSpan w:val="4"/>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7 - 8</w:t>
            </w:r>
          </w:p>
        </w:tc>
      </w:tr>
      <w:tr>
        <w:trPr>
          <w:trHeight w:val="412"/>
        </w:trPr>
        <w:tc>
          <w:tcPr>
            <w:tcW w:w="6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Notes to Condensed Interim Consolidated Financial Statements</w:t>
              </w:r>
            </w:hyperlink>
          </w:p>
        </w:tc>
        <w:tc>
          <w:tcPr>
            <w:tcW w:w="160" w:type="dxa"/>
            <w:vAlign w:val="bottom"/>
          </w:tcPr>
          <w:p>
            <w:pPr>
              <w:spacing w:after="0"/>
              <w:rPr>
                <w:sz w:val="24"/>
                <w:szCs w:val="24"/>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9 – 12</w:t>
            </w:r>
          </w:p>
        </w:tc>
      </w:tr>
      <w:tr>
        <w:trPr>
          <w:trHeight w:val="743"/>
        </w:trPr>
        <w:tc>
          <w:tcPr>
            <w:tcW w:w="60" w:type="dxa"/>
            <w:vAlign w:val="bottom"/>
            <w:tcBorders>
              <w:bottom w:val="single" w:sz="8" w:color="auto"/>
            </w:tcBorders>
          </w:tcPr>
          <w:p>
            <w:pPr>
              <w:spacing w:after="0"/>
              <w:rPr>
                <w:sz w:val="24"/>
                <w:szCs w:val="24"/>
                <w:color w:val="auto"/>
              </w:rPr>
            </w:pPr>
          </w:p>
        </w:tc>
        <w:tc>
          <w:tcPr>
            <w:tcW w:w="372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2"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thousands (except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jc w:val="right"/>
              <w:spacing w:after="0"/>
              <w:rPr>
                <w:sz w:val="20"/>
                <w:szCs w:val="20"/>
                <w:color w:val="auto"/>
              </w:rPr>
            </w:pPr>
            <w:r>
              <w:rPr>
                <w:rFonts w:ascii="Arial" w:cs="Arial" w:eastAsia="Arial" w:hAnsi="Arial"/>
                <w:sz w:val="18"/>
                <w:szCs w:val="18"/>
                <w:color w:val="auto"/>
              </w:rPr>
              <w:t>4,867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25,402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920" w:type="dxa"/>
            <w:vAlign w:val="bottom"/>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32,184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46,468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Long term deposits</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49,011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44,135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Trade payables and accrued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3,563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payables from discontinued operation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12,979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LIABILITIES: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1,169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in respect of IIA grants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Liability in respect of discontinued operation</w:t>
            </w:r>
          </w:p>
        </w:tc>
        <w:tc>
          <w:tcPr>
            <w:tcW w:w="920" w:type="dxa"/>
            <w:vAlign w:val="bottom"/>
          </w:tcPr>
          <w:p>
            <w:pPr>
              <w:jc w:val="right"/>
              <w:spacing w:after="0"/>
              <w:rPr>
                <w:sz w:val="20"/>
                <w:szCs w:val="20"/>
                <w:color w:val="auto"/>
              </w:rPr>
            </w:pPr>
            <w:r>
              <w:rPr>
                <w:rFonts w:ascii="Arial" w:cs="Arial" w:eastAsia="Arial" w:hAnsi="Arial"/>
                <w:sz w:val="18"/>
                <w:szCs w:val="18"/>
                <w:color w:val="auto"/>
              </w:rPr>
              <w:t>6,003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for the purchase of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Severance pay liability,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30,647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24,247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(DEFICIENCY):</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Ordinary shares of NIS 0.01 par value: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Authorized: 37,244,508 shares as of September 30, 2018 and 32,244,508 shares as of December</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4"/>
              </w:rPr>
              <w:t>31, 2017 and September 30, 2017; Issued and Outstanding:27,178,839 shares as of September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30, 2018 and 27,047,737 as of December 31, 2017 and September 30,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Share premium</w:t>
            </w:r>
          </w:p>
        </w:tc>
        <w:tc>
          <w:tcPr>
            <w:tcW w:w="920" w:type="dxa"/>
            <w:vAlign w:val="bottom"/>
          </w:tcPr>
          <w:p>
            <w:pPr>
              <w:jc w:val="right"/>
              <w:spacing w:after="0"/>
              <w:rPr>
                <w:sz w:val="20"/>
                <w:szCs w:val="20"/>
                <w:color w:val="auto"/>
              </w:rPr>
            </w:pPr>
            <w:r>
              <w:rPr>
                <w:rFonts w:ascii="Arial" w:cs="Arial" w:eastAsia="Arial" w:hAnsi="Arial"/>
                <w:sz w:val="18"/>
                <w:szCs w:val="18"/>
                <w:color w:val="auto"/>
              </w:rPr>
              <w:t>139,494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138,778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(141,318)</w:t>
            </w: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(127,040)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(129,409)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(1,778)</w:t>
            </w: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11,785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34,757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49,011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44,135</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680" w:type="dxa"/>
            <w:vAlign w:val="bottom"/>
            <w:gridSpan w:val="3"/>
          </w:tcPr>
          <w:p>
            <w:pPr>
              <w:spacing w:after="0"/>
              <w:rPr>
                <w:sz w:val="20"/>
                <w:szCs w:val="20"/>
                <w:color w:val="auto"/>
              </w:rPr>
            </w:pPr>
            <w:r>
              <w:rPr>
                <w:rFonts w:ascii="Arial" w:cs="Arial" w:eastAsia="Arial" w:hAnsi="Arial"/>
                <w:sz w:val="18"/>
                <w:szCs w:val="18"/>
                <w:color w:val="auto"/>
                <w:w w:val="91"/>
              </w:rPr>
              <w:t>The accompanying notes are an integral part of the condensed interim consolidated financial statements.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7440" w:type="dxa"/>
            <w:vAlign w:val="bottom"/>
            <w:gridSpan w:val="2"/>
          </w:tcPr>
          <w:p>
            <w:pPr>
              <w:jc w:val="right"/>
              <w:ind w:right="1490"/>
              <w:spacing w:after="0"/>
              <w:rPr>
                <w:sz w:val="20"/>
                <w:szCs w:val="20"/>
                <w:color w:val="auto"/>
              </w:rPr>
            </w:pPr>
            <w:r>
              <w:rPr>
                <w:rFonts w:ascii="Arial" w:cs="Arial" w:eastAsia="Arial" w:hAnsi="Arial"/>
                <w:sz w:val="18"/>
                <w:szCs w:val="18"/>
                <w:color w:val="auto"/>
              </w:rPr>
              <w:t>- 2 -</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5" w:name="page16"/>
    <w:bookmarkEnd w:id="15"/>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w w:val="90"/>
              </w:rPr>
              <w:t>U.S. dollars in thousands (except share data and per share data)</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860"/>
              <w:spacing w:after="0"/>
              <w:rPr>
                <w:sz w:val="20"/>
                <w:szCs w:val="20"/>
                <w:color w:val="auto"/>
              </w:rPr>
            </w:pPr>
            <w:r>
              <w:rPr>
                <w:rFonts w:ascii="Arial" w:cs="Arial" w:eastAsia="Arial" w:hAnsi="Arial"/>
                <w:sz w:val="18"/>
                <w:szCs w:val="18"/>
                <w:b w:val="1"/>
                <w:bCs w:val="1"/>
                <w:color w:val="auto"/>
                <w:w w:val="88"/>
              </w:rPr>
              <w:t>Nine months ended</w:t>
            </w:r>
          </w:p>
        </w:tc>
        <w:tc>
          <w:tcPr>
            <w:tcW w:w="23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w w:val="94"/>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89"/>
              </w:rPr>
              <w:t>September 30,</w:t>
            </w:r>
          </w:p>
        </w:tc>
        <w:tc>
          <w:tcPr>
            <w:tcW w:w="23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1,396</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 net of participations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Selling and marketing</w:t>
            </w:r>
          </w:p>
        </w:tc>
        <w:tc>
          <w:tcPr>
            <w:tcW w:w="840" w:type="dxa"/>
            <w:vAlign w:val="bottom"/>
          </w:tcPr>
          <w:p>
            <w:pPr>
              <w:jc w:val="right"/>
              <w:spacing w:after="0"/>
              <w:rPr>
                <w:sz w:val="20"/>
                <w:szCs w:val="20"/>
                <w:color w:val="auto"/>
              </w:rPr>
            </w:pPr>
            <w:r>
              <w:rPr>
                <w:rFonts w:ascii="Arial" w:cs="Arial" w:eastAsia="Arial" w:hAnsi="Arial"/>
                <w:sz w:val="18"/>
                <w:szCs w:val="18"/>
                <w:color w:val="auto"/>
              </w:rPr>
              <w:t>3,156</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4,107</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Other expenses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(9,240)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(10,163)</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(2,797)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from continuing operation</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(11,660)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(12,280)</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(2,944)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(3,504)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(14,533)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from discontinued operation</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(11,660)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(19,780)</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(2,944)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(11,004)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(22,149)</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Items to be reclassified to profit or loss in subsequent</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periods:</w:t>
            </w: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(11,651)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(19,799)</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(2,943)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(11,006)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Basic and diluted loss per share:</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from continuing operations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Loss from discontinued operation</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number of Ordinary shares used in the</w:t>
            </w: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computation of basic and diluted loss per share</w:t>
            </w:r>
          </w:p>
        </w:tc>
        <w:tc>
          <w:tcPr>
            <w:tcW w:w="840" w:type="dxa"/>
            <w:vAlign w:val="bottom"/>
          </w:tcPr>
          <w:p>
            <w:pPr>
              <w:jc w:val="right"/>
              <w:spacing w:after="0"/>
              <w:rPr>
                <w:sz w:val="20"/>
                <w:szCs w:val="20"/>
                <w:color w:val="auto"/>
              </w:rPr>
            </w:pPr>
            <w:r>
              <w:rPr>
                <w:rFonts w:ascii="Arial" w:cs="Arial" w:eastAsia="Arial" w:hAnsi="Arial"/>
                <w:sz w:val="18"/>
                <w:szCs w:val="18"/>
                <w:color w:val="auto"/>
              </w:rPr>
              <w:t>27,092</w:t>
            </w:r>
          </w:p>
        </w:tc>
        <w:tc>
          <w:tcPr>
            <w:tcW w:w="2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22,105</w:t>
            </w: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27,179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22,438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 w:name="page17"/>
    <w:bookmarkEnd w:id="16"/>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(Deficiency)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(audited)</w:t>
            </w: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Cumulative effect adjustment on accumulated deficit as a result</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adopting IFRS 15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(129,658)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2018 (unaudited)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139,494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(141,318)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3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Share capital</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2017 (audited)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114,979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(19,780)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(19,780)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ordinary shares of NIS 0.01 par value net of</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issuance expenses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2017 (unaudited)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138,778</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140"/>
              <w:spacing w:after="0"/>
              <w:rPr>
                <w:sz w:val="20"/>
                <w:szCs w:val="20"/>
                <w:color w:val="auto"/>
              </w:rPr>
            </w:pPr>
            <w:r>
              <w:rPr>
                <w:rFonts w:ascii="Arial" w:cs="Arial" w:eastAsia="Arial" w:hAnsi="Arial"/>
                <w:sz w:val="18"/>
                <w:szCs w:val="18"/>
                <w:color w:val="auto"/>
              </w:rPr>
              <w:t>Represent less than $1.</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interim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U.S. dollar in thousands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 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reserve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deficit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(Deficiency)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Unaudited</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139,359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(2,944)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September 30, 2018</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139,494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(141,318)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 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reserve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deficit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Unaudited</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115,646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(116,036)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(11,004)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Issuance of ordinary shares of NIS 0.01 par value net of</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issuance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22,779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September 30, 2017</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138,778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(127,040)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vMerge w:val="restart"/>
          </w:tcPr>
          <w:p>
            <w:pPr>
              <w:ind w:left="40"/>
              <w:spacing w:after="0"/>
              <w:rPr>
                <w:sz w:val="20"/>
                <w:szCs w:val="20"/>
                <w:color w:val="auto"/>
              </w:rPr>
            </w:pPr>
            <w:r>
              <w:rPr>
                <w:rFonts w:ascii="Arial" w:cs="Arial" w:eastAsia="Arial" w:hAnsi="Arial"/>
                <w:sz w:val="18"/>
                <w:szCs w:val="18"/>
                <w:color w:val="auto"/>
              </w:rPr>
              <w:t>(*)   Represent less than $1.</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U.S. dollar in thousands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Accumulated</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Share capital</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premium</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reserve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deficit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Audited</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114,979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rPr>
              <w:t>Issuance of ordinary shares of NIS 0.01 par value net of</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issuance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22,643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1,363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1"/>
        </w:trPr>
        <w:tc>
          <w:tcPr>
            <w:tcW w:w="3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4340" w:type="dxa"/>
            <w:vAlign w:val="bottom"/>
            <w:vMerge w:val="restart"/>
          </w:tcPr>
          <w:p>
            <w:pPr>
              <w:ind w:left="140"/>
              <w:spacing w:after="0"/>
              <w:rPr>
                <w:sz w:val="20"/>
                <w:szCs w:val="20"/>
                <w:color w:val="auto"/>
              </w:rPr>
            </w:pPr>
            <w:r>
              <w:rPr>
                <w:rFonts w:ascii="Arial" w:cs="Arial" w:eastAsia="Arial" w:hAnsi="Arial"/>
                <w:sz w:val="18"/>
                <w:szCs w:val="18"/>
                <w:color w:val="auto"/>
              </w:rPr>
              <w:t>Represent less than $1.</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360" w:type="dxa"/>
            <w:vAlign w:val="bottom"/>
            <w:gridSpan w:val="2"/>
            <w:vMerge w:val="continue"/>
          </w:tcPr>
          <w:p>
            <w:pPr>
              <w:spacing w:after="0"/>
              <w:rPr>
                <w:sz w:val="24"/>
                <w:szCs w:val="24"/>
                <w:color w:val="auto"/>
              </w:rPr>
            </w:pPr>
          </w:p>
        </w:tc>
        <w:tc>
          <w:tcPr>
            <w:tcW w:w="43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interim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U.S. dollars in thousands</w:t>
            </w: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0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Nine months ended</w:t>
            </w:r>
          </w:p>
        </w:tc>
        <w:tc>
          <w:tcPr>
            <w:tcW w:w="23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w w:val="94"/>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1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23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(19,780)</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loss to net cash used in</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continuing operating activities:</w:t>
            </w: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profit and loss items: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20"/>
              <w:spacing w:after="0"/>
              <w:rPr>
                <w:sz w:val="20"/>
                <w:szCs w:val="20"/>
                <w:color w:val="auto"/>
              </w:rPr>
            </w:pPr>
            <w:r>
              <w:rPr>
                <w:rFonts w:ascii="Arial" w:cs="Arial" w:eastAsia="Arial" w:hAnsi="Arial"/>
                <w:sz w:val="18"/>
                <w:szCs w:val="18"/>
                <w:color w:val="auto"/>
              </w:rPr>
              <w:t>Revaluation of liabilities in respect of IIA grants</w:t>
            </w:r>
          </w:p>
        </w:tc>
        <w:tc>
          <w:tcPr>
            <w:tcW w:w="1160" w:type="dxa"/>
            <w:vAlign w:val="bottom"/>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Revaluation of contingent consideration for the purchase of</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Increase (decrease) in severance liability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financing income</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Un-realized foreign currency (gain) loss</w:t>
            </w: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3,082</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10,670</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8,426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asset and liability items:</w:t>
            </w: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Decrease (increase) in trade receivables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Decrease (increase) in inventories</w:t>
            </w: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Decrease (increase) in other receivables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Increase (decrease) in trade payables</w:t>
            </w: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Increase (decrease) in other payables and deferred revenues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(2,940)</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(12,050)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cash used in discontinued operating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cash flows used in operating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(10,147)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(12,050)</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4"/>
          </w:tcPr>
          <w:p>
            <w:pPr>
              <w:spacing w:after="0"/>
              <w:rPr>
                <w:sz w:val="20"/>
                <w:szCs w:val="20"/>
                <w:color w:val="auto"/>
              </w:rPr>
            </w:pPr>
            <w:r>
              <w:rPr>
                <w:rFonts w:ascii="Arial" w:cs="Arial" w:eastAsia="Arial" w:hAnsi="Arial"/>
                <w:sz w:val="18"/>
                <w:szCs w:val="18"/>
                <w:b w:val="1"/>
                <w:bCs w:val="1"/>
                <w:color w:val="auto"/>
              </w:rPr>
              <w:t>U.S. dollars in thousands</w:t>
            </w:r>
          </w:p>
        </w:tc>
        <w:tc>
          <w:tcPr>
            <w:tcW w:w="3100" w:type="dxa"/>
            <w:vAlign w:val="bottom"/>
            <w:gridSpan w:val="5"/>
            <w:vMerge w:val="restart"/>
          </w:tcPr>
          <w:p>
            <w:pPr>
              <w:jc w:val="center"/>
              <w:ind w:right="540"/>
              <w:spacing w:after="0"/>
              <w:rPr>
                <w:sz w:val="20"/>
                <w:szCs w:val="20"/>
                <w:color w:val="auto"/>
              </w:rPr>
            </w:pPr>
            <w:r>
              <w:rPr>
                <w:rFonts w:ascii="Arial" w:cs="Arial" w:eastAsia="Arial" w:hAnsi="Arial"/>
                <w:sz w:val="18"/>
                <w:szCs w:val="18"/>
                <w:b w:val="1"/>
                <w:bCs w:val="1"/>
                <w:color w:val="auto"/>
                <w:w w:val="88"/>
              </w:rPr>
              <w:t>Nine months ended</w:t>
            </w:r>
          </w:p>
        </w:tc>
        <w:tc>
          <w:tcPr>
            <w:tcW w:w="2380" w:type="dxa"/>
            <w:vAlign w:val="bottom"/>
            <w:gridSpan w:val="4"/>
            <w:vMerge w:val="restart"/>
          </w:tcPr>
          <w:p>
            <w:pPr>
              <w:jc w:val="right"/>
              <w:ind w:right="680"/>
              <w:spacing w:after="0"/>
              <w:rPr>
                <w:sz w:val="20"/>
                <w:szCs w:val="20"/>
                <w:color w:val="auto"/>
              </w:rPr>
            </w:pPr>
            <w:r>
              <w:rPr>
                <w:rFonts w:ascii="Arial" w:cs="Arial" w:eastAsia="Arial" w:hAnsi="Arial"/>
                <w:sz w:val="18"/>
                <w:szCs w:val="18"/>
                <w:b w:val="1"/>
                <w:bCs w:val="1"/>
                <w:color w:val="auto"/>
                <w:w w:val="94"/>
              </w:rPr>
              <w:t>Three months ended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100" w:type="dxa"/>
            <w:vAlign w:val="bottom"/>
            <w:gridSpan w:val="5"/>
            <w:vMerge w:val="continue"/>
          </w:tcPr>
          <w:p>
            <w:pPr>
              <w:spacing w:after="0"/>
              <w:rPr>
                <w:sz w:val="17"/>
                <w:szCs w:val="17"/>
                <w:color w:val="auto"/>
              </w:rPr>
            </w:pPr>
          </w:p>
        </w:tc>
        <w:tc>
          <w:tcPr>
            <w:tcW w:w="2380" w:type="dxa"/>
            <w:vAlign w:val="bottom"/>
            <w:gridSpan w:val="4"/>
            <w:vMerge w:val="continue"/>
          </w:tcPr>
          <w:p>
            <w:pPr>
              <w:spacing w:after="0"/>
              <w:rPr>
                <w:sz w:val="17"/>
                <w:szCs w:val="17"/>
                <w:color w:val="auto"/>
              </w:rPr>
            </w:pPr>
          </w:p>
        </w:tc>
        <w:tc>
          <w:tcPr>
            <w:tcW w:w="12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1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23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Purchase of property and equipment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Purchase of intangible assets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Interest received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2"/>
              </w:rPr>
              <w:t>Proceeds from (investment in) short term bank deposits, net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(20,616)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(13,837)</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Net cash (used in) provided by investing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(20,976)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(14,649)</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Proceeds from exercise of options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Proceeds from issuance of ordinary shares of NIS 0.01 par</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value net of expenses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22,794</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Proceeds from IIA grants, net of repayments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23,129</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Exchange rate differences on cash and cash equivalent</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balances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Increase (decrease) in cash and cash equivalents from</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continuing activities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(31,202)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(3,464)</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22,627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Decrease in cash and cash equivalents from discontinued</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Balance of cash and cash equivalents at the beginning of the</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36,069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28,866</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Balance of cash and cash equivalents at the end of the period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25,402</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interim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GENERAL</w:t>
      </w:r>
    </w:p>
    <w:p>
      <w:pPr>
        <w:spacing w:after="0" w:line="283" w:lineRule="exact"/>
        <w:rPr>
          <w:sz w:val="20"/>
          <w:szCs w:val="20"/>
          <w:color w:val="auto"/>
        </w:rPr>
      </w:pPr>
    </w:p>
    <w:p>
      <w:pPr>
        <w:ind w:left="1520" w:hanging="499"/>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description of the company and its operations:</w:t>
      </w:r>
    </w:p>
    <w:p>
      <w:pPr>
        <w:spacing w:after="0" w:line="279"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MediWound Ltd. (the "Company" or "MediWound"), is a fully integrated biopharmaceutical company focused on developing, manufacturing and commercializing novel products to address unmet needs in the fields of severe burns, as well as chronic and other hard to heal wounds, connective tissue disorders and other indications.</w:t>
      </w:r>
    </w:p>
    <w:p>
      <w:pPr>
        <w:spacing w:after="0" w:line="235" w:lineRule="exact"/>
        <w:rPr>
          <w:rFonts w:ascii="Arial" w:cs="Arial" w:eastAsia="Arial" w:hAnsi="Arial"/>
          <w:sz w:val="18"/>
          <w:szCs w:val="18"/>
          <w:color w:val="auto"/>
        </w:rPr>
      </w:pPr>
    </w:p>
    <w:p>
      <w:pPr>
        <w:jc w:val="both"/>
        <w:ind w:left="1540"/>
        <w:spacing w:after="0" w:line="259" w:lineRule="auto"/>
        <w:rPr>
          <w:rFonts w:ascii="Arial" w:cs="Arial" w:eastAsia="Arial" w:hAnsi="Arial"/>
          <w:sz w:val="18"/>
          <w:szCs w:val="18"/>
          <w:color w:val="auto"/>
        </w:rPr>
      </w:pPr>
      <w:r>
        <w:rPr>
          <w:rFonts w:ascii="Arial" w:cs="Arial" w:eastAsia="Arial" w:hAnsi="Arial"/>
          <w:sz w:val="18"/>
          <w:szCs w:val="18"/>
          <w:color w:val="auto"/>
        </w:rPr>
        <w:t>The Company's innovative biopharmaceutical product, NexoBrid, received marketing authorization from the European Medicines Agency ("EMA") and the Israeli, Argentinean, Russian and South Korean ministries of health for removal of dead or damaged tissue, known as eschar, in adults with deep partial and full thickness thermal burns. The Company sells NexoBrid in Europe and in Israel through its commercial organization and in other territories through local distributers.</w:t>
      </w:r>
    </w:p>
    <w:p>
      <w:pPr>
        <w:spacing w:after="0" w:line="240"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two wholly owned subsidiaries: MediWound Germany GmbH, acting as Europe (“EU”) marketing authorization holder and EU sales and marketing arm and MediWound UK Limited, an inactive company. In addition, the Company owns approximately 8% of PolyHeal Ltd., a private life sciences company ("PolyHeal").</w:t>
      </w:r>
    </w:p>
    <w:p>
      <w:pPr>
        <w:spacing w:after="0" w:line="235"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securities are listed for trading on NASDAQ since March 2014. In September 2017, the Company completed a follow-on public offering. A total of 5,037,664 new ordinary shares were issued in consideration to net proceeds of $22,658, after deducting underwriter’s discounts, commissions and other offering expenses.</w:t>
      </w:r>
    </w:p>
    <w:p>
      <w:pPr>
        <w:spacing w:after="0" w:line="235" w:lineRule="exact"/>
        <w:rPr>
          <w:rFonts w:ascii="Arial" w:cs="Arial" w:eastAsia="Arial" w:hAnsi="Arial"/>
          <w:sz w:val="18"/>
          <w:szCs w:val="18"/>
          <w:color w:val="auto"/>
        </w:rPr>
      </w:pPr>
    </w:p>
    <w:p>
      <w:pPr>
        <w:jc w:val="both"/>
        <w:ind w:left="1520" w:hanging="499"/>
        <w:spacing w:after="0" w:line="272" w:lineRule="auto"/>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has a contract with the U.S. Biomedical Advanced Research and Development Authority ("BARDA"), which was modified in July 2017, for the advancement of the development and manufacturing, as well as the procurement of NexoBrid, as a medical countermeasure as part of BARDA preparedness for mass casualty events. The modified contract includes $56,000 of funding to support development activities to complete the U.S. Food and Drug Administration (FDA) approval process for NexoBrid for use in thermal burn injuries, as well as $16,475 for procurement of NexoBrid, which is contingent upon FDA Emergency Use Authorization (EUA) and/or FDA marketing authorization for NexoBrid. In addition, the contract includes options for further funding of up to $10,000 for expanding NexoBrid’s indications and of up to $50,000 for additional procurement of NexoBrid.</w:t>
      </w:r>
    </w:p>
    <w:p>
      <w:pPr>
        <w:spacing w:after="0" w:line="231" w:lineRule="exact"/>
        <w:rPr>
          <w:rFonts w:ascii="Arial" w:cs="Arial" w:eastAsia="Arial" w:hAnsi="Arial"/>
          <w:sz w:val="17"/>
          <w:szCs w:val="17"/>
          <w:color w:val="auto"/>
        </w:rPr>
      </w:pPr>
    </w:p>
    <w:p>
      <w:pPr>
        <w:ind w:left="1540"/>
        <w:spacing w:after="0"/>
        <w:rPr>
          <w:rFonts w:ascii="Arial" w:cs="Arial" w:eastAsia="Arial" w:hAnsi="Arial"/>
          <w:sz w:val="17"/>
          <w:szCs w:val="17"/>
          <w:color w:val="auto"/>
        </w:rPr>
      </w:pPr>
      <w:r>
        <w:rPr>
          <w:rFonts w:ascii="Arial" w:cs="Arial" w:eastAsia="Arial" w:hAnsi="Arial"/>
          <w:sz w:val="18"/>
          <w:szCs w:val="18"/>
          <w:color w:val="auto"/>
        </w:rPr>
        <w:t>As of September 30, 2018 the Company recorded $ 25,006 in funding from BARDA under the contract.</w:t>
      </w:r>
    </w:p>
    <w:p>
      <w:pPr>
        <w:spacing w:after="0" w:line="279" w:lineRule="exact"/>
        <w:rPr>
          <w:rFonts w:ascii="Arial" w:cs="Arial" w:eastAsia="Arial" w:hAnsi="Arial"/>
          <w:sz w:val="17"/>
          <w:szCs w:val="17"/>
          <w:color w:val="auto"/>
        </w:rPr>
      </w:pPr>
    </w:p>
    <w:p>
      <w:pPr>
        <w:ind w:left="1540"/>
        <w:spacing w:after="0" w:line="277" w:lineRule="auto"/>
        <w:rPr>
          <w:rFonts w:ascii="Arial" w:cs="Arial" w:eastAsia="Arial" w:hAnsi="Arial"/>
          <w:sz w:val="17"/>
          <w:szCs w:val="17"/>
          <w:color w:val="auto"/>
        </w:rPr>
      </w:pPr>
      <w:r>
        <w:rPr>
          <w:rFonts w:ascii="Arial" w:cs="Arial" w:eastAsia="Arial" w:hAnsi="Arial"/>
          <w:sz w:val="18"/>
          <w:szCs w:val="18"/>
          <w:color w:val="auto"/>
        </w:rPr>
        <w:t>On September 28, 2018, BARDA has awarded MediWound a new contract to develop NexoBrid for the treatment of Sulfur Mustard injuries.</w:t>
      </w:r>
    </w:p>
    <w:p>
      <w:pPr>
        <w:spacing w:after="0" w:line="170" w:lineRule="exact"/>
        <w:rPr>
          <w:rFonts w:ascii="Arial" w:cs="Arial" w:eastAsia="Arial" w:hAnsi="Arial"/>
          <w:sz w:val="17"/>
          <w:szCs w:val="17"/>
          <w:color w:val="auto"/>
        </w:rPr>
      </w:pPr>
    </w:p>
    <w:p>
      <w:pPr>
        <w:jc w:val="both"/>
        <w:ind w:left="1540"/>
        <w:spacing w:after="0" w:line="259" w:lineRule="auto"/>
        <w:rPr>
          <w:rFonts w:ascii="Arial" w:cs="Arial" w:eastAsia="Arial" w:hAnsi="Arial"/>
          <w:sz w:val="17"/>
          <w:szCs w:val="17"/>
          <w:color w:val="auto"/>
        </w:rPr>
      </w:pPr>
      <w:r>
        <w:rPr>
          <w:rFonts w:ascii="Arial" w:cs="Arial" w:eastAsia="Arial" w:hAnsi="Arial"/>
          <w:sz w:val="18"/>
          <w:szCs w:val="18"/>
          <w:color w:val="auto"/>
        </w:rPr>
        <w:t>The contract provides $12,000 of funding to support research and development activities up to pivotal studies in animals under the U.S. Food and Drug Administration (FDA) Animal Rule. The contract also contains options for additional funding of up to $31,000 for additional development activities, animal pivotal studies, and the FDA Biologics License Application (BLA) submission for approval of NexoBrid for the treatment of Sulfur Mustard injuries.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8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following accounting policies have been applied consistently in the financial statements for all periods presented unless otherwise stated.</w:t>
      </w:r>
    </w:p>
    <w:p>
      <w:pPr>
        <w:spacing w:after="0" w:line="302" w:lineRule="exact"/>
        <w:rPr>
          <w:sz w:val="20"/>
          <w:szCs w:val="20"/>
          <w:color w:val="auto"/>
        </w:rPr>
      </w:pPr>
    </w:p>
    <w:p>
      <w:pPr>
        <w:ind w:left="1520" w:hanging="4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 of financial statements:</w:t>
      </w:r>
    </w:p>
    <w:p>
      <w:pPr>
        <w:spacing w:after="0" w:line="279"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These financial statements have been prepared in accordance with International Financial Reporting Standards ("IFRS") as issued by the International Accounting Standards Board ("IASB").</w:t>
      </w:r>
    </w:p>
    <w:p>
      <w:pPr>
        <w:spacing w:after="0" w:line="265" w:lineRule="exact"/>
        <w:rPr>
          <w:rFonts w:ascii="Arial" w:cs="Arial" w:eastAsia="Arial" w:hAnsi="Arial"/>
          <w:sz w:val="18"/>
          <w:szCs w:val="18"/>
          <w:color w:val="auto"/>
        </w:rPr>
      </w:pPr>
    </w:p>
    <w:p>
      <w:pPr>
        <w:ind w:left="1660" w:hanging="631"/>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preparation of the interim consolidated financial statements:</w:t>
      </w:r>
    </w:p>
    <w:p>
      <w:pPr>
        <w:spacing w:after="0" w:line="293" w:lineRule="exact"/>
        <w:rPr>
          <w:sz w:val="20"/>
          <w:szCs w:val="20"/>
          <w:color w:val="auto"/>
        </w:rPr>
      </w:pPr>
    </w:p>
    <w:p>
      <w:pPr>
        <w:jc w:val="both"/>
        <w:ind w:left="1540" w:right="20"/>
        <w:spacing w:after="0" w:line="277" w:lineRule="auto"/>
        <w:rPr>
          <w:sz w:val="20"/>
          <w:szCs w:val="20"/>
          <w:color w:val="auto"/>
        </w:rPr>
      </w:pPr>
      <w:r>
        <w:rPr>
          <w:rFonts w:ascii="Arial" w:cs="Arial" w:eastAsia="Arial" w:hAnsi="Arial"/>
          <w:sz w:val="18"/>
          <w:szCs w:val="18"/>
          <w:color w:val="auto"/>
        </w:rPr>
        <w:t>The interim condensed consolidated financial statements for the nine months ended September 30, 2018 have been prepared in accordance with IAS 34 "Interim Financial Reporting".</w:t>
      </w:r>
    </w:p>
    <w:p>
      <w:pPr>
        <w:spacing w:after="0" w:line="170"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The interim condensed consolidated financial statements do not include all the information and disclosures required in the annual financial statements, and should be read in conjunction with the Company's annual financial statements as of December 31, 2017 that were included in the Annual Report on Form 20-F filed on March 19, 2018.</w:t>
      </w:r>
    </w:p>
    <w:p>
      <w:pPr>
        <w:spacing w:after="0" w:line="235"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The accounting policies adopted in the preparation of the interim condensed consolidated financial statements are consistent with those followed in the preparation of the Company’s annual consolidated financial statements for the year ended December 31, 2017 that were included in the Annual Report on Form 20-F filed on March 19, 2018, except than the change discussed below.</w:t>
      </w:r>
    </w:p>
    <w:p>
      <w:pPr>
        <w:spacing w:after="0" w:line="260" w:lineRule="exact"/>
        <w:rPr>
          <w:sz w:val="20"/>
          <w:szCs w:val="20"/>
          <w:color w:val="auto"/>
        </w:rPr>
      </w:pPr>
    </w:p>
    <w:p>
      <w:pPr>
        <w:ind w:left="1640" w:hanging="611"/>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significant accounting policies</w:t>
      </w:r>
    </w:p>
    <w:p>
      <w:pPr>
        <w:spacing w:after="0" w:line="29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IFRS 15, "Revenue from Contracts with Customers":</w:t>
      </w:r>
    </w:p>
    <w:p>
      <w:pPr>
        <w:spacing w:after="0" w:line="279"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IFRS 15 establishes a comprehensive framework for determining whether, how much and when revenue is recognized. It replaced IAS 18 Revenue, IAS 11 Construction Contracts and related interpretations and it applies to all revenue arising from contracts with customers, unless those contracts are in the scope of other standards.</w:t>
      </w:r>
    </w:p>
    <w:p>
      <w:pPr>
        <w:spacing w:after="0" w:line="235" w:lineRule="exact"/>
        <w:rPr>
          <w:sz w:val="20"/>
          <w:szCs w:val="20"/>
          <w:color w:val="auto"/>
        </w:rPr>
      </w:pPr>
    </w:p>
    <w:p>
      <w:pPr>
        <w:jc w:val="both"/>
        <w:ind w:left="1540"/>
        <w:spacing w:after="0" w:line="264" w:lineRule="auto"/>
        <w:rPr>
          <w:sz w:val="20"/>
          <w:szCs w:val="20"/>
          <w:color w:val="auto"/>
        </w:rPr>
      </w:pPr>
      <w:r>
        <w:rPr>
          <w:rFonts w:ascii="Arial" w:cs="Arial" w:eastAsia="Arial" w:hAnsi="Arial"/>
          <w:sz w:val="18"/>
          <w:szCs w:val="18"/>
          <w:color w:val="auto"/>
        </w:rPr>
        <w:t>The new standard establishes a five-step model to account for revenue arising from contracts with customers. Under IFRS 15, revenue is recognized at an amount that reflects the consideration to which an entity expects to be entitled in exchange for transferring goods or services to a customer.</w:t>
      </w:r>
    </w:p>
    <w:p>
      <w:pPr>
        <w:spacing w:after="0" w:line="181" w:lineRule="exact"/>
        <w:rPr>
          <w:sz w:val="20"/>
          <w:szCs w:val="20"/>
          <w:color w:val="auto"/>
        </w:rPr>
      </w:pPr>
    </w:p>
    <w:p>
      <w:pPr>
        <w:jc w:val="both"/>
        <w:ind w:left="1540" w:right="20"/>
        <w:spacing w:after="0" w:line="277" w:lineRule="auto"/>
        <w:rPr>
          <w:sz w:val="20"/>
          <w:szCs w:val="20"/>
          <w:color w:val="auto"/>
        </w:rPr>
      </w:pPr>
      <w:r>
        <w:rPr>
          <w:rFonts w:ascii="Arial" w:cs="Arial" w:eastAsia="Arial" w:hAnsi="Arial"/>
          <w:sz w:val="18"/>
          <w:szCs w:val="18"/>
          <w:color w:val="auto"/>
        </w:rPr>
        <w:t>The standard requires entities to exercise judgment, taking into consideration all of the relevant facts and circumstances when applying each step of the model to contracts with their customers.</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Company generates revenues from direct and indirect sales of its products and from license agreements with its distributors.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7700"/>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83" w:lineRule="exact"/>
        <w:rPr>
          <w:sz w:val="20"/>
          <w:szCs w:val="20"/>
          <w:color w:val="auto"/>
        </w:rPr>
      </w:pPr>
    </w:p>
    <w:p>
      <w:pPr>
        <w:ind w:left="2040" w:hanging="506"/>
        <w:spacing w:after="0"/>
        <w:tabs>
          <w:tab w:leader="none" w:pos="2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the Sale of products:</w:t>
      </w:r>
    </w:p>
    <w:p>
      <w:pPr>
        <w:spacing w:after="0" w:line="279" w:lineRule="exact"/>
        <w:rPr>
          <w:rFonts w:ascii="Arial" w:cs="Arial" w:eastAsia="Arial" w:hAnsi="Arial"/>
          <w:sz w:val="18"/>
          <w:szCs w:val="18"/>
          <w:color w:val="auto"/>
        </w:rPr>
      </w:pPr>
    </w:p>
    <w:p>
      <w:pPr>
        <w:jc w:val="both"/>
        <w:ind w:left="2040"/>
        <w:spacing w:after="0" w:line="259" w:lineRule="auto"/>
        <w:rPr>
          <w:rFonts w:ascii="Arial" w:cs="Arial" w:eastAsia="Arial" w:hAnsi="Arial"/>
          <w:sz w:val="18"/>
          <w:szCs w:val="18"/>
          <w:color w:val="auto"/>
        </w:rPr>
      </w:pPr>
      <w:r>
        <w:rPr>
          <w:rFonts w:ascii="Arial" w:cs="Arial" w:eastAsia="Arial" w:hAnsi="Arial"/>
          <w:sz w:val="18"/>
          <w:szCs w:val="18"/>
          <w:color w:val="auto"/>
        </w:rPr>
        <w:t>The Company contracts with customers for the sale of products which generally include one performance obligation. The Company has concluded that revenue from sale of products should be recognized at the point in time when control of the asset is transferred to the customer, generally on delivery of the products. Therefore, the adoption of IFRS 15 did not have an impact on the timing of revenue recognition.</w:t>
      </w:r>
    </w:p>
    <w:p>
      <w:pPr>
        <w:spacing w:after="0" w:line="240" w:lineRule="exact"/>
        <w:rPr>
          <w:rFonts w:ascii="Arial" w:cs="Arial" w:eastAsia="Arial" w:hAnsi="Arial"/>
          <w:sz w:val="18"/>
          <w:szCs w:val="18"/>
          <w:color w:val="auto"/>
        </w:rPr>
      </w:pPr>
    </w:p>
    <w:p>
      <w:pPr>
        <w:ind w:left="2040" w:hanging="506"/>
        <w:spacing w:after="0"/>
        <w:tabs>
          <w:tab w:leader="none" w:pos="2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distribution agreements with Multiple- element:</w:t>
      </w:r>
    </w:p>
    <w:p>
      <w:pPr>
        <w:spacing w:after="0" w:line="279" w:lineRule="exact"/>
        <w:rPr>
          <w:rFonts w:ascii="Arial" w:cs="Arial" w:eastAsia="Arial" w:hAnsi="Arial"/>
          <w:sz w:val="18"/>
          <w:szCs w:val="18"/>
          <w:color w:val="auto"/>
        </w:rPr>
      </w:pPr>
    </w:p>
    <w:p>
      <w:pPr>
        <w:jc w:val="both"/>
        <w:ind w:left="2040"/>
        <w:spacing w:after="0" w:line="257" w:lineRule="auto"/>
        <w:rPr>
          <w:rFonts w:ascii="Arial" w:cs="Arial" w:eastAsia="Arial" w:hAnsi="Arial"/>
          <w:sz w:val="18"/>
          <w:szCs w:val="18"/>
          <w:color w:val="auto"/>
        </w:rPr>
      </w:pPr>
      <w:r>
        <w:rPr>
          <w:rFonts w:ascii="Arial" w:cs="Arial" w:eastAsia="Arial" w:hAnsi="Arial"/>
          <w:sz w:val="18"/>
          <w:szCs w:val="18"/>
          <w:color w:val="auto"/>
        </w:rPr>
        <w:t>According to the new Standard, entities need to determine whether the licenses for intellectual property is distinct from other goods and services included in the contract. An analysis of the Company's contracts with its distributors indicates that in the majority of contracts, the Company grants its distributors a right to access its intellectual property as it exists throughout the license period. Accordingly, the Company recognizes revenue from the granting of licenses over the license period, which is identical to the legacy accounting treatment.</w:t>
      </w:r>
    </w:p>
    <w:p>
      <w:pPr>
        <w:spacing w:after="0" w:line="242" w:lineRule="exact"/>
        <w:rPr>
          <w:rFonts w:ascii="Arial" w:cs="Arial" w:eastAsia="Arial" w:hAnsi="Arial"/>
          <w:sz w:val="18"/>
          <w:szCs w:val="18"/>
          <w:color w:val="auto"/>
        </w:rPr>
      </w:pPr>
    </w:p>
    <w:p>
      <w:pPr>
        <w:jc w:val="both"/>
        <w:ind w:left="2040"/>
        <w:spacing w:after="0" w:line="276" w:lineRule="auto"/>
        <w:rPr>
          <w:rFonts w:ascii="Arial" w:cs="Arial" w:eastAsia="Arial" w:hAnsi="Arial"/>
          <w:sz w:val="18"/>
          <w:szCs w:val="18"/>
          <w:color w:val="auto"/>
        </w:rPr>
      </w:pPr>
      <w:r>
        <w:rPr>
          <w:rFonts w:ascii="Arial" w:cs="Arial" w:eastAsia="Arial" w:hAnsi="Arial"/>
          <w:sz w:val="17"/>
          <w:szCs w:val="17"/>
          <w:color w:val="auto"/>
        </w:rPr>
        <w:t>In addition, in accordance with terms of some license agreements, the Company is entitled for up-front payments which are accounted for as deferred revenues and recognized in profit and loss over the license period. According to the new Standard, when long-term advances (exceeding one year) are received for a future service, the Company is required to accrue interest and recognize finance expense on the advances over the period of the contract. Under the legacy revenue recognition guidance the Company did not recognize finance expenses in respect of deferred revenue.</w:t>
      </w:r>
    </w:p>
    <w:p>
      <w:pPr>
        <w:spacing w:after="0" w:line="227" w:lineRule="exact"/>
        <w:rPr>
          <w:sz w:val="20"/>
          <w:szCs w:val="20"/>
          <w:color w:val="auto"/>
        </w:rPr>
      </w:pPr>
    </w:p>
    <w:p>
      <w:pPr>
        <w:jc w:val="both"/>
        <w:ind w:left="1540"/>
        <w:spacing w:after="0" w:line="273" w:lineRule="auto"/>
        <w:rPr>
          <w:sz w:val="20"/>
          <w:szCs w:val="20"/>
          <w:color w:val="auto"/>
        </w:rPr>
      </w:pPr>
      <w:r>
        <w:rPr>
          <w:rFonts w:ascii="Arial" w:cs="Arial" w:eastAsia="Arial" w:hAnsi="Arial"/>
          <w:sz w:val="17"/>
          <w:szCs w:val="17"/>
          <w:color w:val="auto"/>
        </w:rPr>
        <w:t>On January 1, 2018, the Company adopted the new standard for all its distribution agreements at the date of initial application, and applied the standard using the modified retrospective approach, with the cumulative effect of applying the new guidance recognized as an adjustment to the opening retained earnings balance. Results for reporting periods beginning after January 1, 2018 are presented under the new guidance, while prior period amounts are not adjusted and continue to be reported under the accounting standards in effect for the prior period. The Company recorded a net increase to opening accumulated deficit of $249 as of January 1, 2018 due to the cumulative impact of adopting the new guidance and an increase of deferred revenues by $249.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MEDIWOUND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00" w:lineRule="exact"/>
        <w:rPr>
          <w:sz w:val="20"/>
          <w:szCs w:val="20"/>
          <w:color w:val="auto"/>
        </w:rPr>
      </w:pPr>
    </w:p>
    <w:p>
      <w:pPr>
        <w:spacing w:after="0" w:line="353" w:lineRule="exact"/>
        <w:rPr>
          <w:sz w:val="20"/>
          <w:szCs w:val="20"/>
          <w:color w:val="auto"/>
        </w:rPr>
      </w:pPr>
    </w:p>
    <w:p>
      <w:pPr>
        <w:jc w:val="both"/>
        <w:ind w:left="1020" w:right="20"/>
        <w:spacing w:after="0" w:line="264" w:lineRule="auto"/>
        <w:rPr>
          <w:sz w:val="20"/>
          <w:szCs w:val="20"/>
          <w:color w:val="auto"/>
        </w:rPr>
      </w:pPr>
      <w:r>
        <w:rPr>
          <w:rFonts w:ascii="Arial" w:cs="Arial" w:eastAsia="Arial" w:hAnsi="Arial"/>
          <w:sz w:val="18"/>
          <w:szCs w:val="18"/>
          <w:color w:val="auto"/>
        </w:rPr>
        <w:t>The following table summarizes the impacts of adopting IFRS 15 on the Company’s interim statement of financial position as of September 30, 2018 and its interim consolidated statements of comprehensive loss for the three and nine months period ended September 30, 2018 for each of the line items affected.</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6840" w:type="dxa"/>
            <w:vAlign w:val="bottom"/>
          </w:tcPr>
          <w:p>
            <w:pPr>
              <w:ind w:left="100"/>
              <w:spacing w:after="0"/>
              <w:rPr>
                <w:sz w:val="20"/>
                <w:szCs w:val="20"/>
                <w:color w:val="auto"/>
              </w:rPr>
            </w:pPr>
            <w:r>
              <w:rPr>
                <w:rFonts w:ascii="Arial" w:cs="Arial" w:eastAsia="Arial" w:hAnsi="Arial"/>
                <w:sz w:val="18"/>
                <w:szCs w:val="18"/>
                <w:color w:val="auto"/>
              </w:rPr>
              <w:t>Impact on the condensed interim consolidated statement of financial position:</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6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Amounts</w:t>
            </w:r>
          </w:p>
        </w:tc>
      </w:tr>
      <w:tr>
        <w:trPr>
          <w:trHeight w:val="216"/>
        </w:trPr>
        <w:tc>
          <w:tcPr>
            <w:tcW w:w="6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without</w:t>
            </w:r>
          </w:p>
        </w:tc>
      </w:tr>
      <w:tr>
        <w:trPr>
          <w:trHeight w:val="216"/>
        </w:trPr>
        <w:tc>
          <w:tcPr>
            <w:tcW w:w="6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adoption of</w:t>
            </w:r>
          </w:p>
        </w:tc>
      </w:tr>
      <w:tr>
        <w:trPr>
          <w:trHeight w:val="241"/>
        </w:trPr>
        <w:tc>
          <w:tcPr>
            <w:tcW w:w="684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As reported</w:t>
            </w:r>
          </w:p>
        </w:tc>
        <w:tc>
          <w:tcPr>
            <w:tcW w:w="200" w:type="dxa"/>
            <w:vAlign w:val="bottom"/>
          </w:tcPr>
          <w:p>
            <w:pPr>
              <w:spacing w:after="0"/>
              <w:rPr>
                <w:sz w:val="20"/>
                <w:szCs w:val="20"/>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Adjustments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IFRS 15</w:t>
            </w:r>
          </w:p>
        </w:tc>
        <w:tc>
          <w:tcPr>
            <w:tcW w:w="100" w:type="dxa"/>
            <w:vAlign w:val="bottom"/>
          </w:tcPr>
          <w:p>
            <w:pPr>
              <w:spacing w:after="0"/>
              <w:rPr>
                <w:sz w:val="20"/>
                <w:szCs w:val="20"/>
                <w:color w:val="auto"/>
              </w:rPr>
            </w:pPr>
          </w:p>
        </w:tc>
      </w:tr>
      <w:tr>
        <w:trPr>
          <w:trHeight w:val="216"/>
        </w:trPr>
        <w:tc>
          <w:tcPr>
            <w:tcW w:w="68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22"/>
                <w:szCs w:val="22"/>
                <w:color w:val="auto"/>
              </w:rPr>
            </w:pPr>
          </w:p>
        </w:tc>
      </w:tr>
      <w:tr>
        <w:trPr>
          <w:trHeight w:val="210"/>
        </w:trPr>
        <w:tc>
          <w:tcPr>
            <w:tcW w:w="684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(141,307)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(140,967)</w:t>
            </w:r>
          </w:p>
        </w:tc>
      </w:tr>
      <w:tr>
        <w:trPr>
          <w:trHeight w:val="20"/>
        </w:trPr>
        <w:tc>
          <w:tcPr>
            <w:tcW w:w="68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Comprised of short term deferred revenues classified in other payable and long term deferred revenues.</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Impact on the condensed interim consolidated statements of comprehensive loss for the nine months period ended September 30, 2018:</w:t>
      </w:r>
    </w:p>
    <w:p>
      <w:pPr>
        <w:spacing w:after="0" w:line="28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Amounts</w:t>
            </w:r>
          </w:p>
        </w:tc>
      </w:tr>
      <w:tr>
        <w:trPr>
          <w:trHeight w:val="216"/>
        </w:trPr>
        <w:tc>
          <w:tcPr>
            <w:tcW w:w="6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without</w:t>
            </w:r>
          </w:p>
        </w:tc>
      </w:tr>
      <w:tr>
        <w:trPr>
          <w:trHeight w:val="216"/>
        </w:trPr>
        <w:tc>
          <w:tcPr>
            <w:tcW w:w="6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adoption of</w:t>
            </w:r>
          </w:p>
        </w:tc>
      </w:tr>
      <w:tr>
        <w:trPr>
          <w:trHeight w:val="241"/>
        </w:trPr>
        <w:tc>
          <w:tcPr>
            <w:tcW w:w="684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As reported</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Adjustments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IFRS 15</w:t>
            </w:r>
          </w:p>
        </w:tc>
        <w:tc>
          <w:tcPr>
            <w:tcW w:w="100" w:type="dxa"/>
            <w:vAlign w:val="bottom"/>
          </w:tcPr>
          <w:p>
            <w:pPr>
              <w:spacing w:after="0"/>
              <w:rPr>
                <w:sz w:val="20"/>
                <w:szCs w:val="20"/>
                <w:color w:val="auto"/>
              </w:rPr>
            </w:pPr>
          </w:p>
        </w:tc>
      </w:tr>
      <w:tr>
        <w:trPr>
          <w:trHeight w:val="216"/>
        </w:trPr>
        <w:tc>
          <w:tcPr>
            <w:tcW w:w="68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Financial expense</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(2,719)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(2,596)</w:t>
            </w:r>
          </w:p>
        </w:tc>
      </w:tr>
      <w:tr>
        <w:trPr>
          <w:trHeight w:val="257"/>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Total Basic and diluted net loss per share</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r>
      <w:tr>
        <w:trPr>
          <w:trHeight w:val="21"/>
        </w:trPr>
        <w:tc>
          <w:tcPr>
            <w:tcW w:w="6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Impact on the condensed interim consolidated statements of comprehensive loss for the three months period ended September 30,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without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adoption of</w:t>
            </w:r>
          </w:p>
        </w:tc>
        <w:tc>
          <w:tcPr>
            <w:tcW w:w="0" w:type="dxa"/>
            <w:vAlign w:val="bottom"/>
          </w:tcPr>
          <w:p>
            <w:pPr>
              <w:spacing w:after="0"/>
              <w:rPr>
                <w:sz w:val="1"/>
                <w:szCs w:val="1"/>
                <w:color w:val="auto"/>
              </w:rPr>
            </w:pPr>
          </w:p>
        </w:tc>
      </w:tr>
      <w:tr>
        <w:trPr>
          <w:trHeight w:val="241"/>
        </w:trPr>
        <w:tc>
          <w:tcPr>
            <w:tcW w:w="9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As reported</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Adjustments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IFRS 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320" w:type="dxa"/>
            <w:vAlign w:val="bottom"/>
            <w:gridSpan w:val="3"/>
          </w:tcPr>
          <w:p>
            <w:pPr>
              <w:spacing w:after="0"/>
              <w:rPr>
                <w:sz w:val="18"/>
                <w:szCs w:val="18"/>
                <w:color w:val="auto"/>
              </w:rPr>
            </w:pPr>
          </w:p>
        </w:tc>
        <w:tc>
          <w:tcPr>
            <w:tcW w:w="1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Financial expense</w:t>
            </w:r>
          </w:p>
        </w:tc>
        <w:tc>
          <w:tcPr>
            <w:tcW w:w="4320" w:type="dxa"/>
            <w:vAlign w:val="bottom"/>
            <w:gridSpan w:val="3"/>
          </w:tcPr>
          <w:p>
            <w:pPr>
              <w:jc w:val="right"/>
              <w:ind w:right="140"/>
              <w:spacing w:after="0"/>
              <w:rPr>
                <w:sz w:val="20"/>
                <w:szCs w:val="20"/>
                <w:color w:val="auto"/>
              </w:rPr>
            </w:pPr>
            <w:r>
              <w:rPr>
                <w:rFonts w:ascii="Arial" w:cs="Arial" w:eastAsia="Arial" w:hAnsi="Arial"/>
                <w:sz w:val="18"/>
                <w:szCs w:val="18"/>
                <w:color w:val="auto"/>
              </w:rPr>
              <w:t>(821)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Basic and diluted net loss per share</w:t>
            </w:r>
          </w:p>
        </w:tc>
        <w:tc>
          <w:tcPr>
            <w:tcW w:w="4320" w:type="dxa"/>
            <w:vAlign w:val="bottom"/>
            <w:gridSpan w:val="3"/>
          </w:tcPr>
          <w:p>
            <w:pPr>
              <w:jc w:val="right"/>
              <w:ind w:right="140"/>
              <w:spacing w:after="0"/>
              <w:rPr>
                <w:sz w:val="20"/>
                <w:szCs w:val="20"/>
                <w:color w:val="auto"/>
              </w:rPr>
            </w:pPr>
            <w:r>
              <w:rPr>
                <w:rFonts w:ascii="Arial" w:cs="Arial" w:eastAsia="Arial" w:hAnsi="Arial"/>
                <w:sz w:val="18"/>
                <w:szCs w:val="18"/>
                <w:color w:val="auto"/>
              </w:rPr>
              <w:t>(0.11)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60" w:type="dxa"/>
            <w:vAlign w:val="bottom"/>
            <w:vMerge w:val="restart"/>
          </w:tcPr>
          <w:p>
            <w:pPr>
              <w:jc w:val="right"/>
              <w:ind w:right="1770"/>
              <w:spacing w:after="0"/>
              <w:rPr>
                <w:sz w:val="20"/>
                <w:szCs w:val="20"/>
                <w:color w:val="auto"/>
              </w:rPr>
            </w:pPr>
            <w:r>
              <w:rPr>
                <w:rFonts w:ascii="Arial" w:cs="Arial" w:eastAsia="Arial" w:hAnsi="Arial"/>
                <w:sz w:val="18"/>
                <w:szCs w:val="18"/>
                <w:color w:val="auto"/>
              </w:rPr>
              <w:t>- 12 -</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9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amp;"/>
      <w:numFmt w:val="bullet"/>
      <w:start w:val="1"/>
    </w:lvl>
  </w:abstractNum>
  <w:abstractNum w:abstractNumId="2">
    <w:nsid w:val="238E1F29"/>
    <w:multiLevelType w:val="hybridMultilevel"/>
    <w:lvl w:ilvl="0">
      <w:lvlJc w:val="left"/>
      <w:lvlText w:val="%1."/>
      <w:numFmt w:val="lowerLetter"/>
      <w:start w:val="1"/>
    </w:lvl>
    <w:lvl w:ilvl="1">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2019-12-08T09:22:38Z</dcterms:created>
  <dcterms:modified xsi:type="dcterms:W3CDTF">2019-12-08T09:22:38Z</dcterms:modified>
</cp:coreProperties>
</file>