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84"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______________________</w:t>
      </w:r>
    </w:p>
    <w:p>
      <w:pPr>
        <w:spacing w:after="0" w:line="270"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FORM 6-K</w:t>
      </w:r>
    </w:p>
    <w:p>
      <w:pPr>
        <w:spacing w:after="0" w:line="284"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REPORT OF FOREIGN PRIVATE ISSUER</w:t>
      </w:r>
    </w:p>
    <w:p>
      <w:pPr>
        <w:spacing w:after="0" w:line="27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Pursuant to Rule 13a-16 or 15d-16 of the</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Securities Exchange Act of 1934</w:t>
      </w:r>
    </w:p>
    <w:p>
      <w:pPr>
        <w:spacing w:after="0" w:line="261"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For the month of March 2018</w:t>
      </w:r>
    </w:p>
    <w:p>
      <w:pPr>
        <w:spacing w:after="0" w:line="279"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Commission File Number: 001-36349</w:t>
      </w:r>
    </w:p>
    <w:p>
      <w:pPr>
        <w:spacing w:after="0" w:line="279" w:lineRule="exact"/>
        <w:rPr>
          <w:sz w:val="24"/>
          <w:szCs w:val="24"/>
          <w:color w:val="auto"/>
        </w:rPr>
      </w:pPr>
    </w:p>
    <w:p>
      <w:pPr>
        <w:jc w:val="center"/>
        <w:ind w:right="-540"/>
        <w:spacing w:after="0"/>
        <w:rPr>
          <w:sz w:val="20"/>
          <w:szCs w:val="20"/>
          <w:color w:val="auto"/>
        </w:rPr>
      </w:pPr>
      <w:r>
        <w:rPr>
          <w:rFonts w:ascii="Arial" w:cs="Arial" w:eastAsia="Arial" w:hAnsi="Arial"/>
          <w:sz w:val="29"/>
          <w:szCs w:val="29"/>
          <w:b w:val="1"/>
          <w:bCs w:val="1"/>
          <w:u w:val="single" w:color="auto"/>
          <w:color w:val="auto"/>
        </w:rPr>
        <w:t>MediWound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-19050</wp:posOffset>
            </wp:positionV>
            <wp:extent cx="514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-19050</wp:posOffset>
            </wp:positionV>
            <wp:extent cx="514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8"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42 Hayarkon Street</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Yavne, 8122745 Israel</w:t>
      </w: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6" w:lineRule="exact"/>
        <w:rPr>
          <w:sz w:val="24"/>
          <w:szCs w:val="24"/>
          <w:color w:val="auto"/>
        </w:rPr>
      </w:pPr>
    </w:p>
    <w:p>
      <w:pPr>
        <w:ind w:left="3620"/>
        <w:spacing w:after="0" w:line="253" w:lineRule="exact"/>
        <w:tabs>
          <w:tab w:leader="none" w:pos="530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w:t>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312420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81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19, 2018, MediWound Ltd. issued a press release entitled “MediWound Reports Fourth Quarter and Fiscal Year 2017 Financial Results”. A copy of this press release is attached to this Form 6-K as Exhibit 99.1.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MEDIWOUND LTD.</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19, 2018</w:t>
      </w:r>
      <w:r>
        <w:rPr>
          <w:sz w:val="20"/>
          <w:szCs w:val="20"/>
          <w:color w:val="auto"/>
        </w:rPr>
        <w:tab/>
      </w:r>
      <w:r>
        <w:rPr>
          <w:rFonts w:ascii="Arial" w:cs="Arial" w:eastAsia="Arial" w:hAnsi="Arial"/>
          <w:sz w:val="17"/>
          <w:szCs w:val="17"/>
          <w:color w:val="auto"/>
        </w:rPr>
        <w:t>By: /s/ Sharon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Sharon Malka</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33"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391" w:right="71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Form 6-K:</w:t>
      </w:r>
    </w:p>
    <w:p>
      <w:pPr>
        <w:spacing w:after="0" w:line="2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dated March 19, 2018 titled “MediWound Reports Fourth Quarter and Fiscal Year 2017 Financial Results”.</w:t>
      </w:r>
    </w:p>
    <w:p>
      <w:pPr>
        <w:spacing w:after="0" w:line="28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189230</wp:posOffset>
            </wp:positionV>
            <wp:extent cx="1724025"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240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Reports Fourth Quarter and Fiscal Year 2017 Financial Results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NexoBrid</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sales grow 60% in 2017 vs.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Raised gross proceeds of $25.2 million through an equity offering</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 fund EscharEx</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clinical plan</w:t>
      </w:r>
    </w:p>
    <w:p>
      <w:pPr>
        <w:spacing w:after="0" w:line="139"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Awarded additional $32 million from BARDA</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i w:val="1"/>
          <w:iCs w:val="1"/>
          <w:color w:val="auto"/>
        </w:rPr>
        <w:t>bringing NexoBrid</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to be self-funded program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Announces discussions regarding potential strategic transaction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begins today at 8:30 a.m. Eastern Time</w:t>
      </w:r>
    </w:p>
    <w:p>
      <w:pPr>
        <w:spacing w:after="0" w:line="275"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YAVNE, Israel (March 19, 2018)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MediWound Ltd. (Nasdaq: MDWD), a fully-integrated biopharmaceutical company bringing innovative therapies to</w:t>
      </w:r>
      <w:r>
        <w:rPr>
          <w:rFonts w:ascii="Arial" w:cs="Arial" w:eastAsia="Arial" w:hAnsi="Arial"/>
          <w:sz w:val="17"/>
          <w:szCs w:val="17"/>
          <w:b w:val="1"/>
          <w:bCs w:val="1"/>
          <w:color w:val="auto"/>
        </w:rPr>
        <w:t xml:space="preserve"> </w:t>
      </w:r>
      <w:r>
        <w:rPr>
          <w:rFonts w:ascii="Arial" w:cs="Arial" w:eastAsia="Arial" w:hAnsi="Arial"/>
          <w:sz w:val="17"/>
          <w:szCs w:val="17"/>
          <w:color w:val="auto"/>
        </w:rPr>
        <w:t>address unmet needs in severe burn and wound management, today announced financial results for the quarter and year ended December 31,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2017 Financial Highlights</w:t>
      </w:r>
    </w:p>
    <w:p>
      <w:pPr>
        <w:spacing w:after="0" w:line="283" w:lineRule="exact"/>
        <w:rPr>
          <w:sz w:val="20"/>
          <w:szCs w:val="20"/>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revenues for 2017 were $2.5 million, a 60% increase from 2016. Revenues for the fourth quarter of 2017 were $0.5 million, a 23% increase compared to the fourth quarter of 2016.</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BARDA upsized their contract with MediWound, committing an additional $32 million to support R&amp;D activities, bringing total non-dilutive funding to up to $132 million.</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Raised total gross proceeds of $25.2 million through an equity offering to fund EscharEx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clinical and development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2017 Business Highlights</w:t>
      </w:r>
    </w:p>
    <w:p>
      <w:pPr>
        <w:spacing w:after="0" w:line="273" w:lineRule="exact"/>
        <w:rPr>
          <w:sz w:val="20"/>
          <w:szCs w:val="20"/>
          <w:color w:val="auto"/>
        </w:rPr>
      </w:pPr>
    </w:p>
    <w:p>
      <w:pPr>
        <w:ind w:left="660" w:hanging="328"/>
        <w:spacing w:after="0" w:line="18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met its Phase 2 statistically-powered primary endpoint of complete debridement, which thereafter, was agreed to by FDA to be the primary endpoint of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clinical program.</w:t>
      </w:r>
    </w:p>
    <w:p>
      <w:pPr>
        <w:spacing w:after="0" w:line="2" w:lineRule="exact"/>
        <w:rPr>
          <w:rFonts w:ascii="Arial" w:cs="Arial" w:eastAsia="Arial" w:hAnsi="Arial"/>
          <w:sz w:val="16"/>
          <w:szCs w:val="16"/>
          <w:color w:val="auto"/>
        </w:rPr>
      </w:pPr>
    </w:p>
    <w:p>
      <w:pPr>
        <w:ind w:left="660" w:hanging="328"/>
        <w:spacing w:after="0" w:line="18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EscharEx</w:t>
      </w:r>
      <w:r>
        <w:rPr>
          <w:rFonts w:ascii="Arial" w:cs="Arial" w:eastAsia="Arial" w:hAnsi="Arial"/>
          <w:sz w:val="25"/>
          <w:szCs w:val="25"/>
          <w:color w:val="auto"/>
          <w:vertAlign w:val="superscript"/>
        </w:rPr>
        <w:t>®</w:t>
      </w:r>
      <w:r>
        <w:rPr>
          <w:rFonts w:ascii="Arial" w:cs="Arial" w:eastAsia="Arial" w:hAnsi="Arial"/>
          <w:sz w:val="16"/>
          <w:szCs w:val="16"/>
          <w:color w:val="auto"/>
        </w:rPr>
        <w:t xml:space="preserve"> demonstrated safety over extended periods of application during the second cohort of the Phase 2 trial.</w:t>
      </w:r>
    </w:p>
    <w:p>
      <w:pPr>
        <w:ind w:left="660" w:right="20" w:hanging="328"/>
        <w:spacing w:after="0" w:line="18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Dozens of presentations, award-winning posters at leading conferences such as EBA and ABA and independent peer reviewed publications highlighting the positive clinical benefits and cost savings, of NexoBrid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enzymatic debridement for severe burns.</w:t>
      </w:r>
    </w:p>
    <w:p>
      <w:pPr>
        <w:spacing w:after="0" w:line="2"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Positive decision by European Commission on a five-year renewal of NexoBrid's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Marketing Authorization.</w:t>
      </w:r>
    </w:p>
    <w:p>
      <w:pPr>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 completion of a Good Manufacturing Practice (GMP) audit of the Company's facility in Yavne, Israel by the Israeli Ministry of Health (IMOH) granting a compliance certificate for additional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5" w:name="page6"/>
    <w:bookmarkEnd w:id="5"/>
    <w:p>
      <w:pPr>
        <w:jc w:val="both"/>
        <w:spacing w:after="0" w:line="207" w:lineRule="auto"/>
        <w:rPr>
          <w:sz w:val="20"/>
          <w:szCs w:val="20"/>
          <w:color w:val="auto"/>
        </w:rPr>
      </w:pPr>
      <w:r>
        <w:rPr>
          <w:rFonts w:ascii="Arial" w:cs="Arial" w:eastAsia="Arial" w:hAnsi="Arial"/>
          <w:sz w:val="18"/>
          <w:szCs w:val="18"/>
          <w:color w:val="auto"/>
        </w:rPr>
        <w:t>“We made significant progress and achieved important milestones during 2017, setting the stage for further advancements in 2018. The expansion of the BARDA contract is especially important, as it provides up to $132 million in non-dilutive financing. BARDA is funding NexoBrid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development up to BLA approval, including our ongoing U.S. Phase 3 DETECT study in adults, and our pediatric Phase 3 CIDS study. The BARDA agreement effectively establishes NexoBrid as a self-funded program. NexoBrid’s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sales and use in Europe continue to grow as being highlighted by dozens of abstracts and papers attesting to its clinical benefit and cost savings, all contributing to the integration of NexoBrid as the standard of care for eschar removal of severe burns</w:t>
      </w:r>
      <w:r>
        <w:rPr>
          <w:rFonts w:ascii="Arial" w:cs="Arial" w:eastAsia="Arial" w:hAnsi="Arial"/>
          <w:sz w:val="18"/>
          <w:szCs w:val="18"/>
          <w:color w:val="auto"/>
          <w:strike w:val="1"/>
        </w:rPr>
        <w:t>,</w:t>
      </w:r>
      <w:r>
        <w:rPr>
          <w:rFonts w:ascii="Arial" w:cs="Arial" w:eastAsia="Arial" w:hAnsi="Arial"/>
          <w:sz w:val="18"/>
          <w:szCs w:val="18"/>
          <w:color w:val="auto"/>
        </w:rPr>
        <w:t>” said Gal Cohen, MediWound’s President and Chief Executive Officer.</w:t>
      </w:r>
    </w:p>
    <w:p>
      <w:pPr>
        <w:spacing w:after="0" w:line="24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At the current recruitment rate, we plan to complete the recruitment of 175 patients to our ongoing NexoBrid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U.S. Phase 3 DETECT study around mid-2018 and report the primary, secondary and safety acute topline data around year-end, following a 3 month follow-up. MediWound is also expanding the pediatric Phase 3 CIDS study into the U.S. We have submitted the protocol to the IRBs and expect to open the sites in the first half of 2018,” noted Mr. Cohen.</w:t>
      </w:r>
    </w:p>
    <w:p>
      <w:pPr>
        <w:spacing w:after="0" w:line="192" w:lineRule="exact"/>
        <w:rPr>
          <w:sz w:val="20"/>
          <w:szCs w:val="20"/>
          <w:color w:val="auto"/>
        </w:rPr>
      </w:pPr>
    </w:p>
    <w:p>
      <w:pPr>
        <w:jc w:val="both"/>
        <w:spacing w:after="0" w:line="192" w:lineRule="auto"/>
        <w:rPr>
          <w:sz w:val="20"/>
          <w:szCs w:val="20"/>
          <w:color w:val="auto"/>
        </w:rPr>
      </w:pPr>
      <w:r>
        <w:rPr>
          <w:rFonts w:ascii="Arial" w:cs="Arial" w:eastAsia="Arial" w:hAnsi="Arial"/>
          <w:sz w:val="16"/>
          <w:szCs w:val="16"/>
          <w:color w:val="auto"/>
        </w:rPr>
        <w:t>“Our enthusiasm for EscharEx</w:t>
      </w:r>
      <w:r>
        <w:rPr>
          <w:rFonts w:ascii="Arial" w:cs="Arial" w:eastAsia="Arial" w:hAnsi="Arial"/>
          <w:sz w:val="26"/>
          <w:szCs w:val="26"/>
          <w:color w:val="auto"/>
          <w:vertAlign w:val="superscript"/>
        </w:rPr>
        <w:t>®</w:t>
      </w:r>
      <w:r>
        <w:rPr>
          <w:rFonts w:ascii="Arial" w:cs="Arial" w:eastAsia="Arial" w:hAnsi="Arial"/>
          <w:sz w:val="16"/>
          <w:szCs w:val="16"/>
          <w:color w:val="auto"/>
        </w:rPr>
        <w:t>, our topical biologic for the debridement of dead or damaged tissue in chronic and other hard-to-heal wounds, remains very high. We agreed with the FDA that incidence of complete debridement would be the primary endpoint of the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clinical program after demonstrating this outcome in our Phase 2 study. With the completion of our recent equity offering, we have sufficient resources to fund the EscharEx’s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clinical and development program,” added Mr. Cohen. “We have invested substantial efforts in the last few quarters working with U.S. experts to optimize the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clinical development program and plan to finalize the preparations and submit a protocol to the FDA in the second half of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fourth quarter of 2017 were $0.53 million, up 23% from the $0.43 million in revenues for the fourth quarter of 2016.</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fourth quarter of 2017 was $0.11 million, compared to a gross loss of $0.43 million in the prior year period.</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for the fourth quarter of 2017, net of participations, were $1.2 million, up 51% compared with $0.8 million for the fourth quarter of 2016.</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and general and administrative expenses were $2.5 million for the fourth quarter of 2017, down 25% as compared to $3.3 million for the fourth quarter of 2016.</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loss for the fourth quarter of 2017 was $3.5 million, an improvement of 22% from $4.5 million in the fourth quarter of 2016, primarily as a result of the improvement in gross profit and the decrease in selling and marketing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posted a net loss of $2.4 million, or $0.09 per share, for the fourth quarter of 2017 compared with a net loss of $1.9 million, or $0.09 per share, for the fourth quarter of 2016. The increase in net loss was primarily as a result of non-cash financial income from revaluation of contingent liabilities recorded in 2016.</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as defined below, for the fourth quarter of 2017 was a loss of $3.0 million, compared with a loss of $3.5 million for the fourth quarter of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Total revenue for the year ended December 31, 2017 was $2.5 million, up 60% from the $1.6 million recorded in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Gross profit for the year ended December 31, 2017 was $0.9 million, compared with a gross loss of $0.6 million in the prior year period, an improvement of approximately $1.5 million resulting from a combination of increased sales and improved efficiencies.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for the year ended December 31, 2017, net of participations, were $5.5 million, down 23% compared to the $7.1 million recorded in the year ended December 31, 2016. The decrease was primarily due to an increase of $1.5 million in participation by BARDA and the Israeli Innovation Authority in the Company’s R&amp;D expenses.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year ended December 31, 2017 were $9.1 million, down 27% compared to the $12.5 million recorded in the same period in 2016, primarily due to a reduction of $2.2 million related to marketing expenses associated with launch activities and a $1.2 decrease in non-cash share based compensation.</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loss for the year ended December 31, 2017 was $13.7 million, an improvement of 32% versus an operating loss of $20.2 million recorded in the year ended December 31, 2016. The decrease was primarily due to the positive change in gross profit in 2017 and the decrease of approximately $5 million in operating expenses compared to the prior year period.</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year ended December 31, 2017, the Company posted a net loss of $22.1 million, or $0.95 per share, compared with a net loss of $18.9 million, or $0.86 per share, for year ended December 31, 2016. The change in net loss is comprised of: (i) a decrease of $4.4 million in net loss from continuing operations, primarily due to a $6.5 million decrease in operating loss which was offset by an increase of $2.1 million net financial expenses, largely comprised of non-cash revaluation of contingent liabilities; and (ii) a one-time loss from discontinued operation of $7.6 million for 2017, following a full provision for the share purchase price plus the accrued interest, that was recorded as a result of the district court ruling.</w:t>
      </w: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as defined below, for the year ended December 31, 2017 was a loss of $11.8 million, compared with a loss of $16.4 million for the year ended December 31,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of December 31, 2017, the Company had cash and cash equivalents of $36.1 million, compared with $30.0 million at December 31, 2016. This increase in cash and cash equivalents includes $22.7 million of net proceeds generated from a public offering of the Company’s common stock in September 2017. The Company remained on budget and utilized $15.0 million in cash to fund its operating activities during 2017, which was at the lower end of the Company’s 2017 cash use guidance of $15.0 to $17.0 million. In addition, the Company used $1.6 million for the purchase of PolyHeal's shares pursuant to the District Court ruling in the fourth quarter of 2017, for which an appeal was recently submitted by the Company to the Supreme Court.</w:t>
      </w:r>
    </w:p>
    <w:p>
      <w:pPr>
        <w:spacing w:after="0" w:line="207"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Throughout 2018, the Company will continue to invest primarily in research and development efforts for EscharEx</w:t>
      </w:r>
      <w:r>
        <w:rPr>
          <w:rFonts w:ascii="Arial" w:cs="Arial" w:eastAsia="Arial" w:hAnsi="Arial"/>
          <w:sz w:val="30"/>
          <w:szCs w:val="30"/>
          <w:color w:val="auto"/>
          <w:vertAlign w:val="superscript"/>
        </w:rPr>
        <w:t>®</w:t>
      </w:r>
      <w:r>
        <w:rPr>
          <w:rFonts w:ascii="Arial" w:cs="Arial" w:eastAsia="Arial" w:hAnsi="Arial"/>
          <w:sz w:val="18"/>
          <w:szCs w:val="18"/>
          <w:color w:val="auto"/>
        </w:rPr>
        <w:t>, while NexoBrid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research and development programs will be funded by BARDA. As a result, we expect cash use for operating activities in 2018 to be in the range of $14.0 million to $16.0 million.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Discussions regarding a Potential Strategic Transaction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Stephen T. Wills, MediWound's Chairman, stated, "Given certain disclosure considerations, today we announce that we have been approached by another company to consider a strategic transaction and we are engaged, in that respect, in discussions. The Board of Directors has retained Moelis &amp; Company LLC, a global investment bank specializing in M&amp;A advisory services, to assist us in our evaluation of this potential opportunity. There can be no assurances that a definitive agreement between the parties or any other agreement will be 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MediWound management will host a conference call for investors today, Monday, March 19, 2018 beginning at 8:30 a.m. Eastern Time to discuss these results and answer questions. Shareholders and other interested parties may participate in the conference call by dialing 800-289-0438 (in the U.S.) 1-80-921-2883 (Israel), or 323-794-2423 (outside the U.S. &amp; Israel) and entering passcode 5767650. The call also will be broadcast live on the Internet on the Company’s website at </w:t>
      </w:r>
      <w:r>
        <w:rPr>
          <w:rFonts w:ascii="Arial" w:cs="Arial" w:eastAsia="Arial" w:hAnsi="Arial"/>
          <w:sz w:val="18"/>
          <w:szCs w:val="18"/>
          <w:u w:val="single" w:color="auto"/>
          <w:color w:val="auto"/>
        </w:rPr>
        <w:t>http://ir.mediwound.com/events.cfm</w:t>
      </w:r>
      <w:r>
        <w:rPr>
          <w:rFonts w:ascii="Arial" w:cs="Arial" w:eastAsia="Arial" w:hAnsi="Arial"/>
          <w:sz w:val="18"/>
          <w:szCs w:val="18"/>
          <w:color w:val="auto"/>
        </w:rPr>
        <w:t>.</w:t>
      </w:r>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 replay of the call will be accessible two hours after its completion through March 22, 2018 by dialing 844-512-2921 (in the U.S.) or 412-317-6671 (outside the U.S.) and entering passcode 5767650. The call will also be archived on the Company website for 90 days at </w:t>
      </w:r>
      <w:r>
        <w:rPr>
          <w:rFonts w:ascii="Arial" w:cs="Arial" w:eastAsia="Arial" w:hAnsi="Arial"/>
          <w:sz w:val="17"/>
          <w:szCs w:val="17"/>
          <w:u w:val="single" w:color="auto"/>
          <w:color w:val="auto"/>
        </w:rPr>
        <w:t>www.mediwound.com</w:t>
      </w:r>
      <w:r>
        <w:rPr>
          <w:rFonts w:ascii="Arial" w:cs="Arial" w:eastAsia="Arial" w:hAnsi="Arial"/>
          <w:sz w:val="17"/>
          <w:szCs w:val="17"/>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one-time expenses, restructuring and share-based compensation expenses.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MediWound Ltd.</w:t>
      </w:r>
    </w:p>
    <w:p>
      <w:pPr>
        <w:spacing w:after="0" w:line="27"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w:t>
      </w:r>
      <w:r>
        <w:rPr>
          <w:rFonts w:ascii="Arial" w:cs="Arial" w:eastAsia="Arial" w:hAnsi="Arial"/>
          <w:sz w:val="28"/>
          <w:szCs w:val="28"/>
          <w:color w:val="auto"/>
          <w:vertAlign w:val="superscript"/>
        </w:rPr>
        <w:t>®</w:t>
      </w:r>
      <w:r>
        <w:rPr>
          <w:rFonts w:ascii="Arial" w:cs="Arial" w:eastAsia="Arial" w:hAnsi="Arial"/>
          <w:sz w:val="17"/>
          <w:szCs w:val="17"/>
          <w:color w:val="auto"/>
        </w:rPr>
        <w:t>, received marketing authorization from the European Medicines Agency as well as the Israeli and Argentinian Ministries of Health, for removal of dead or damaged tissue, known as eschar, in adults with deep partial and full-thickness thermal burns and was launched in Europe and Israel and Argentina. NexoBrid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represents a new paradigm in burn care management, and clinical trials have demonstrated, with statistical significance, its ability to non-surgically and rapidly remove the eschar earlier and, without harming viable tissues.</w:t>
      </w:r>
    </w:p>
    <w:p>
      <w:pPr>
        <w:spacing w:after="0" w:line="247" w:lineRule="exact"/>
        <w:rPr>
          <w:sz w:val="20"/>
          <w:szCs w:val="20"/>
          <w:color w:val="auto"/>
        </w:rPr>
      </w:pPr>
    </w:p>
    <w:p>
      <w:pPr>
        <w:jc w:val="both"/>
        <w:spacing w:after="0" w:line="182" w:lineRule="auto"/>
        <w:rPr>
          <w:sz w:val="20"/>
          <w:szCs w:val="20"/>
          <w:color w:val="auto"/>
        </w:rPr>
      </w:pPr>
      <w:r>
        <w:rPr>
          <w:rFonts w:ascii="Arial" w:cs="Arial" w:eastAsia="Arial" w:hAnsi="Arial"/>
          <w:sz w:val="18"/>
          <w:szCs w:val="18"/>
          <w:color w:val="auto"/>
        </w:rPr>
        <w:t>MediWound's second innovative product, EscharEx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topical biological drug being developed for debridement of chronic and other hard-to-heal wounds and is complementary to the large number of existing wound healing products, which require a clean wound bed in order to heal the wound. EscharEx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contains the same proteolytic enzyme technology as NexoBrid</w:t>
      </w:r>
      <w:r>
        <w:rPr>
          <w:rFonts w:ascii="Arial" w:cs="Arial" w:eastAsia="Arial" w:hAnsi="Arial"/>
          <w:sz w:val="30"/>
          <w:szCs w:val="30"/>
          <w:color w:val="auto"/>
          <w:vertAlign w:val="superscript"/>
        </w:rPr>
        <w:t>®</w:t>
      </w:r>
      <w:r>
        <w:rPr>
          <w:rFonts w:ascii="Arial" w:cs="Arial" w:eastAsia="Arial" w:hAnsi="Arial"/>
          <w:sz w:val="18"/>
          <w:szCs w:val="18"/>
          <w:color w:val="auto"/>
        </w:rPr>
        <w:t>, and benefits from the wealth of existing development data on NexoBrid</w:t>
      </w:r>
      <w:r>
        <w:rPr>
          <w:rFonts w:ascii="Arial" w:cs="Arial" w:eastAsia="Arial" w:hAnsi="Arial"/>
          <w:sz w:val="30"/>
          <w:szCs w:val="30"/>
          <w:color w:val="auto"/>
          <w:vertAlign w:val="superscript"/>
        </w:rPr>
        <w:t>®</w:t>
      </w:r>
      <w:r>
        <w:rPr>
          <w:rFonts w:ascii="Arial" w:cs="Arial" w:eastAsia="Arial" w:hAnsi="Arial"/>
          <w:sz w:val="18"/>
          <w:szCs w:val="18"/>
          <w:color w:val="auto"/>
        </w:rPr>
        <w:t>. In two Phase 2 studies, EscharEx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has demonstrated safety and efficacy in the debridement of chronic and other hard-to-heal wounds, within a few daily applications. For more information, please visit </w:t>
      </w:r>
      <w:r>
        <w:rPr>
          <w:rFonts w:ascii="Arial" w:cs="Arial" w:eastAsia="Arial" w:hAnsi="Arial"/>
          <w:sz w:val="18"/>
          <w:szCs w:val="18"/>
          <w:u w:val="single" w:color="auto"/>
          <w:color w:val="auto"/>
        </w:rPr>
        <w:t>www.mediwound.com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assumptions and results related to the regulatory authorizations and launch dates.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factors. In particular, you should consider the risks discussed under the heading “Risk Factors” in our annual report on Form 20-F for the year ended December 31, 2017 and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Bob Yedid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Sharon Malka</w:t>
            </w:r>
          </w:p>
        </w:tc>
        <w:tc>
          <w:tcPr>
            <w:tcW w:w="5700" w:type="dxa"/>
            <w:vAlign w:val="bottom"/>
            <w:gridSpan w:val="2"/>
          </w:tcPr>
          <w:p>
            <w:pPr>
              <w:spacing w:after="0"/>
              <w:rPr>
                <w:sz w:val="20"/>
                <w:szCs w:val="20"/>
                <w:color w:val="auto"/>
              </w:rPr>
            </w:pPr>
            <w:r>
              <w:rPr>
                <w:rFonts w:ascii="Arial" w:cs="Arial" w:eastAsia="Arial" w:hAnsi="Arial"/>
                <w:sz w:val="18"/>
                <w:szCs w:val="18"/>
                <w:color w:val="auto"/>
              </w:rPr>
              <w:t>Managing Director</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Chief Financial and Operations Officer</w:t>
            </w:r>
          </w:p>
        </w:tc>
        <w:tc>
          <w:tcPr>
            <w:tcW w:w="5700" w:type="dxa"/>
            <w:vAlign w:val="bottom"/>
            <w:gridSpan w:val="2"/>
          </w:tcPr>
          <w:p>
            <w:pPr>
              <w:spacing w:after="0"/>
              <w:rPr>
                <w:sz w:val="20"/>
                <w:szCs w:val="20"/>
                <w:color w:val="auto"/>
              </w:rPr>
            </w:pPr>
            <w:r>
              <w:rPr>
                <w:rFonts w:ascii="Arial" w:cs="Arial" w:eastAsia="Arial" w:hAnsi="Arial"/>
                <w:sz w:val="18"/>
                <w:szCs w:val="18"/>
                <w:color w:val="auto"/>
              </w:rPr>
              <w:t>LifeSci Advisors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MediWound Ltd.</w:t>
            </w:r>
          </w:p>
        </w:tc>
        <w:tc>
          <w:tcPr>
            <w:tcW w:w="1840" w:type="dxa"/>
            <w:vAlign w:val="bottom"/>
          </w:tcPr>
          <w:p>
            <w:pPr>
              <w:spacing w:after="0"/>
              <w:rPr>
                <w:sz w:val="20"/>
                <w:szCs w:val="20"/>
                <w:color w:val="auto"/>
              </w:rPr>
            </w:pPr>
            <w:r>
              <w:rPr>
                <w:rFonts w:ascii="Arial" w:cs="Arial" w:eastAsia="Arial" w:hAnsi="Arial"/>
                <w:sz w:val="18"/>
                <w:szCs w:val="18"/>
                <w:color w:val="auto"/>
              </w:rPr>
              <w:t>646-597-6989</w:t>
            </w:r>
          </w:p>
        </w:tc>
        <w:tc>
          <w:tcPr>
            <w:tcW w:w="3860" w:type="dxa"/>
            <w:vAlign w:val="bottom"/>
          </w:tcPr>
          <w:p>
            <w:pPr>
              <w:spacing w:after="0"/>
              <w:rPr>
                <w:sz w:val="18"/>
                <w:szCs w:val="18"/>
                <w:color w:val="auto"/>
              </w:rPr>
            </w:pPr>
          </w:p>
        </w:tc>
      </w:tr>
      <w:tr>
        <w:trPr>
          <w:trHeight w:val="190"/>
        </w:trPr>
        <w:tc>
          <w:tcPr>
            <w:tcW w:w="5720" w:type="dxa"/>
            <w:vAlign w:val="bottom"/>
            <w:gridSpan w:val="2"/>
          </w:tcPr>
          <w:p>
            <w:pPr>
              <w:spacing w:after="0" w:line="190" w:lineRule="exact"/>
              <w:rPr>
                <w:sz w:val="20"/>
                <w:szCs w:val="20"/>
                <w:color w:val="auto"/>
              </w:rPr>
            </w:pPr>
            <w:r>
              <w:rPr>
                <w:rFonts w:ascii="Arial" w:cs="Arial" w:eastAsia="Arial" w:hAnsi="Arial"/>
                <w:sz w:val="18"/>
                <w:szCs w:val="18"/>
                <w:color w:val="auto"/>
              </w:rPr>
              <w:t>ir@mediwound.co.il</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bob@lifesciadvisors.com</w:t>
            </w:r>
          </w:p>
        </w:tc>
      </w:tr>
      <w:tr>
        <w:trPr>
          <w:trHeight w:val="203"/>
        </w:trPr>
        <w:tc>
          <w:tcPr>
            <w:tcW w:w="1500" w:type="dxa"/>
            <w:vAlign w:val="bottom"/>
            <w:tcBorders>
              <w:top w:val="single" w:sz="8" w:color="auto"/>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7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 term deposits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Accounts and other receivable</w:t>
            </w:r>
          </w:p>
        </w:tc>
        <w:tc>
          <w:tcPr>
            <w:tcW w:w="1160" w:type="dxa"/>
            <w:vAlign w:val="bottom"/>
          </w:tcPr>
          <w:p>
            <w:pPr>
              <w:jc w:val="right"/>
              <w:spacing w:after="0"/>
              <w:rPr>
                <w:sz w:val="20"/>
                <w:szCs w:val="20"/>
                <w:color w:val="auto"/>
              </w:rPr>
            </w:pPr>
            <w:r>
              <w:rPr>
                <w:rFonts w:ascii="Arial" w:cs="Arial" w:eastAsia="Arial" w:hAnsi="Arial"/>
                <w:sz w:val="18"/>
                <w:szCs w:val="18"/>
                <w:color w:val="auto"/>
              </w:rPr>
              <w:t>3,565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41,520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 term deposits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tcPr>
          <w:p>
            <w:pPr>
              <w:jc w:val="right"/>
              <w:spacing w:after="0"/>
              <w:rPr>
                <w:sz w:val="20"/>
                <w:szCs w:val="20"/>
                <w:color w:val="auto"/>
              </w:rPr>
            </w:pPr>
            <w:r>
              <w:rPr>
                <w:rFonts w:ascii="Arial" w:cs="Arial" w:eastAsia="Arial" w:hAnsi="Arial"/>
                <w:sz w:val="18"/>
                <w:szCs w:val="18"/>
                <w:color w:val="auto"/>
              </w:rPr>
              <w:t>1,924</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long term assets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2,615</w:t>
            </w: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44,135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3,251</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5,433</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Liabilities in respect of Israeli Innovation Authority grants net of current maturities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7,380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for the purchase of shares net of current maturities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Liability in respect of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6,003</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Severance pay liability, net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long term liabilities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29,082</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Shareholders' equity</w:t>
            </w:r>
          </w:p>
        </w:tc>
        <w:tc>
          <w:tcPr>
            <w:tcW w:w="1160" w:type="dxa"/>
            <w:vAlign w:val="bottom"/>
          </w:tcPr>
          <w:p>
            <w:pPr>
              <w:jc w:val="right"/>
              <w:spacing w:after="0"/>
              <w:rPr>
                <w:sz w:val="20"/>
                <w:szCs w:val="20"/>
                <w:color w:val="auto"/>
              </w:rPr>
            </w:pPr>
            <w:r>
              <w:rPr>
                <w:rFonts w:ascii="Arial" w:cs="Arial" w:eastAsia="Arial" w:hAnsi="Arial"/>
                <w:sz w:val="18"/>
                <w:szCs w:val="18"/>
                <w:color w:val="auto"/>
              </w:rPr>
              <w:t>9,620</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&amp; shareholder equity</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44,135</w:t>
            </w:r>
          </w:p>
        </w:tc>
        <w:tc>
          <w:tcPr>
            <w:tcW w:w="20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35,764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0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Year ended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2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w:t>
            </w:r>
          </w:p>
        </w:tc>
        <w:tc>
          <w:tcPr>
            <w:tcW w:w="2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3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14,625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Participation by BARDA &amp; IIA</w:t>
            </w:r>
          </w:p>
        </w:tc>
        <w:tc>
          <w:tcPr>
            <w:tcW w:w="3600" w:type="dxa"/>
            <w:vAlign w:val="bottom"/>
            <w:gridSpan w:val="3"/>
          </w:tcPr>
          <w:p>
            <w:pPr>
              <w:jc w:val="right"/>
              <w:ind w:right="180"/>
              <w:spacing w:after="0"/>
              <w:rPr>
                <w:sz w:val="20"/>
                <w:szCs w:val="20"/>
                <w:color w:val="auto"/>
              </w:rPr>
            </w:pPr>
            <w:r>
              <w:rPr>
                <w:rFonts w:ascii="Arial" w:cs="Arial" w:eastAsia="Arial" w:hAnsi="Arial"/>
                <w:sz w:val="18"/>
                <w:szCs w:val="18"/>
                <w:color w:val="auto"/>
              </w:rPr>
              <w:t>(9,163)</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(7,711)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(3,374)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2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2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Selling, general &amp; administrative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9,143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12,487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w:t>
            </w:r>
          </w:p>
        </w:tc>
        <w:tc>
          <w:tcPr>
            <w:tcW w:w="2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(20,155)</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Financial income (expenses), net</w:t>
            </w:r>
          </w:p>
        </w:tc>
        <w:tc>
          <w:tcPr>
            <w:tcW w:w="3600" w:type="dxa"/>
            <w:vAlign w:val="bottom"/>
            <w:gridSpan w:val="3"/>
          </w:tcPr>
          <w:p>
            <w:pPr>
              <w:jc w:val="right"/>
              <w:ind w:right="180"/>
              <w:spacing w:after="0"/>
              <w:rPr>
                <w:sz w:val="20"/>
                <w:szCs w:val="20"/>
                <w:color w:val="auto"/>
              </w:rPr>
            </w:pPr>
            <w:r>
              <w:rPr>
                <w:rFonts w:ascii="Arial" w:cs="Arial" w:eastAsia="Arial" w:hAnsi="Arial"/>
                <w:sz w:val="18"/>
                <w:szCs w:val="18"/>
                <w:color w:val="auto"/>
              </w:rPr>
              <w:t>(846)</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2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(14,533)</w:t>
            </w:r>
          </w:p>
        </w:tc>
        <w:tc>
          <w:tcPr>
            <w:tcW w:w="2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(18,885)</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(2,253)</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Loss from discontinued operation</w:t>
            </w:r>
          </w:p>
        </w:tc>
        <w:tc>
          <w:tcPr>
            <w:tcW w:w="36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(7,616)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2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(22,149)</w:t>
            </w:r>
          </w:p>
        </w:tc>
        <w:tc>
          <w:tcPr>
            <w:tcW w:w="240" w:type="dxa"/>
            <w:vAlign w:val="bottom"/>
            <w:tcBorders>
              <w:left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(18,885)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w:t>
            </w:r>
          </w:p>
        </w:tc>
        <w:tc>
          <w:tcPr>
            <w:tcW w:w="2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(22,178)</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(18,878)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(2,379)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(1,878)</w:t>
            </w:r>
          </w:p>
        </w:tc>
        <w:tc>
          <w:tcPr>
            <w:tcW w:w="0" w:type="dxa"/>
            <w:vAlign w:val="bottom"/>
          </w:tcPr>
          <w:p>
            <w:pPr>
              <w:spacing w:after="0"/>
              <w:rPr>
                <w:sz w:val="1"/>
                <w:szCs w:val="1"/>
                <w:color w:val="auto"/>
              </w:rPr>
            </w:pPr>
          </w:p>
        </w:tc>
      </w:tr>
      <w:tr>
        <w:trPr>
          <w:trHeight w:val="21"/>
        </w:trPr>
        <w:tc>
          <w:tcPr>
            <w:tcW w:w="25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Basic and diluted loss per share:</w:t>
            </w:r>
          </w:p>
        </w:tc>
        <w:tc>
          <w:tcPr>
            <w:tcW w:w="2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3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(0.62)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Loss from discontinued operation</w:t>
            </w:r>
          </w:p>
        </w:tc>
        <w:tc>
          <w:tcPr>
            <w:tcW w:w="2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2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(0.95)</w:t>
            </w:r>
          </w:p>
        </w:tc>
        <w:tc>
          <w:tcPr>
            <w:tcW w:w="240" w:type="dxa"/>
            <w:vAlign w:val="bottom"/>
            <w:tcBorders>
              <w:left w:val="single" w:sz="8" w:color="CCEEFF"/>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(0.86)</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800" w:type="dxa"/>
            <w:vAlign w:val="bottom"/>
            <w:gridSpan w:val="6"/>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number of ordinary shares used in the computation of</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2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23,341</w:t>
            </w:r>
          </w:p>
        </w:tc>
        <w:tc>
          <w:tcPr>
            <w:tcW w:w="240" w:type="dxa"/>
            <w:vAlign w:val="bottom"/>
            <w:tcBorders>
              <w:left w:val="single" w:sz="8" w:color="CCEEFF"/>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21,862</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27,048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ADJUSTED EBITDA</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940" w:type="dxa"/>
            <w:vAlign w:val="bottom"/>
            <w:gridSpan w:val="4"/>
          </w:tcPr>
          <w:p>
            <w:pPr>
              <w:jc w:val="center"/>
              <w:ind w:right="260"/>
              <w:spacing w:after="0"/>
              <w:rPr>
                <w:sz w:val="20"/>
                <w:szCs w:val="20"/>
                <w:color w:val="auto"/>
              </w:rPr>
            </w:pPr>
            <w:r>
              <w:rPr>
                <w:rFonts w:ascii="Arial" w:cs="Arial" w:eastAsia="Arial" w:hAnsi="Arial"/>
                <w:sz w:val="18"/>
                <w:szCs w:val="18"/>
                <w:color w:val="auto"/>
                <w:w w:val="89"/>
              </w:rPr>
              <w:t>U.S. dollars in thousands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Year ended</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2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2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3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Loss from discontinued operation</w:t>
            </w:r>
          </w:p>
        </w:tc>
        <w:tc>
          <w:tcPr>
            <w:tcW w:w="3600" w:type="dxa"/>
            <w:vAlign w:val="bottom"/>
            <w:gridSpan w:val="3"/>
          </w:tcPr>
          <w:p>
            <w:pPr>
              <w:jc w:val="right"/>
              <w:ind w:right="180"/>
              <w:spacing w:after="0"/>
              <w:rPr>
                <w:sz w:val="20"/>
                <w:szCs w:val="20"/>
                <w:color w:val="auto"/>
              </w:rPr>
            </w:pPr>
            <w:r>
              <w:rPr>
                <w:rFonts w:ascii="Arial" w:cs="Arial" w:eastAsia="Arial" w:hAnsi="Arial"/>
                <w:sz w:val="18"/>
                <w:szCs w:val="18"/>
                <w:color w:val="auto"/>
              </w:rPr>
              <w:t>(7,616)</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Share-based compensation expenses</w:t>
            </w:r>
          </w:p>
        </w:tc>
        <w:tc>
          <w:tcPr>
            <w:tcW w:w="3600" w:type="dxa"/>
            <w:vAlign w:val="bottom"/>
            <w:gridSpan w:val="3"/>
          </w:tcPr>
          <w:p>
            <w:pPr>
              <w:jc w:val="right"/>
              <w:ind w:right="180"/>
              <w:spacing w:after="0"/>
              <w:rPr>
                <w:sz w:val="20"/>
                <w:szCs w:val="20"/>
                <w:color w:val="auto"/>
              </w:rPr>
            </w:pPr>
            <w:r>
              <w:rPr>
                <w:rFonts w:ascii="Arial" w:cs="Arial" w:eastAsia="Arial" w:hAnsi="Arial"/>
                <w:sz w:val="18"/>
                <w:szCs w:val="18"/>
                <w:color w:val="auto"/>
              </w:rPr>
              <w:t>(1,363)</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(3,171)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adjustments</w:t>
            </w:r>
          </w:p>
        </w:tc>
        <w:tc>
          <w:tcPr>
            <w:tcW w:w="2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240" w:type="dxa"/>
            <w:vAlign w:val="bottom"/>
            <w:tcBorders>
              <w:left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36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(11,757)</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(16,395)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(3,036)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7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Year ended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7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0"/>
              </w:rPr>
              <w:t>Unaudited</w:t>
            </w: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3280" w:type="dxa"/>
            <w:vAlign w:val="bottom"/>
            <w:tcBorders>
              <w:top w:val="single" w:sz="8" w:color="CCEEFF"/>
            </w:tcBorders>
            <w:gridSpan w:val="2"/>
          </w:tcPr>
          <w:p>
            <w:pPr>
              <w:spacing w:after="0"/>
              <w:rPr>
                <w:sz w:val="18"/>
                <w:szCs w:val="18"/>
                <w:color w:val="auto"/>
              </w:rPr>
            </w:pPr>
          </w:p>
        </w:tc>
        <w:tc>
          <w:tcPr>
            <w:tcW w:w="14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b w:val="1"/>
                <w:bCs w:val="1"/>
                <w:color w:val="auto"/>
              </w:rPr>
              <w:t>(22,149)</w:t>
            </w: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b w:val="1"/>
                <w:bCs w:val="1"/>
                <w:color w:val="auto"/>
              </w:rPr>
              <w:t>(18,885)</w:t>
            </w:r>
          </w:p>
        </w:tc>
        <w:tc>
          <w:tcPr>
            <w:tcW w:w="13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b w:val="1"/>
                <w:bCs w:val="1"/>
                <w:color w:val="auto"/>
              </w:rPr>
              <w:t>(2,369)</w:t>
            </w: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b w:val="1"/>
                <w:bCs w:val="1"/>
                <w:color w:val="auto"/>
              </w:rPr>
              <w:t>(1,889)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3"/>
          </w:tcPr>
          <w:p>
            <w:pPr>
              <w:spacing w:after="0" w:line="201" w:lineRule="exact"/>
              <w:rPr>
                <w:sz w:val="20"/>
                <w:szCs w:val="20"/>
                <w:color w:val="auto"/>
              </w:rPr>
            </w:pPr>
            <w:r>
              <w:rPr>
                <w:rFonts w:ascii="Arial" w:cs="Arial" w:eastAsia="Arial" w:hAnsi="Arial"/>
                <w:sz w:val="18"/>
                <w:szCs w:val="18"/>
                <w:color w:val="auto"/>
              </w:rPr>
              <w:t>Adjustments to reconcile net loss to net cash used in continuing operating</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4"/>
          </w:tcPr>
          <w:p>
            <w:pPr>
              <w:spacing w:after="0"/>
              <w:rPr>
                <w:sz w:val="20"/>
                <w:szCs w:val="20"/>
                <w:color w:val="auto"/>
              </w:rPr>
            </w:pPr>
            <w:r>
              <w:rPr>
                <w:rFonts w:ascii="Arial" w:cs="Arial" w:eastAsia="Arial" w:hAnsi="Arial"/>
                <w:sz w:val="18"/>
                <w:szCs w:val="18"/>
                <w:color w:val="auto"/>
              </w:rPr>
              <w:t>activities: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profit and loss items: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Loss from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7,616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Revaluation of liabilities in respect of IIA grants</w:t>
            </w: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(1,298)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Revaluation of contingent consideration for the purchase of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Increase in severance liability, net</w:t>
            </w: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Unrealized foreign currency (gain)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(185)</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9,703</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Changes in asset and liability items: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trade receivables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Decrease (increase) in inventories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873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receivables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(1,227)</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Increase (decrease) in trade payables &amp; accrued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2,195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other payables &amp; deferred revenues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(2,446)</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494</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continuing operating activities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(14,892)</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(2,842)</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(1,563)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(1,563)</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(16,455)</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Investment Activities: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Purchase of property and equipment</w:t>
            </w:r>
          </w:p>
        </w:tc>
        <w:tc>
          <w:tcPr>
            <w:tcW w:w="32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(1,045)</w:t>
            </w: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(671)</w:t>
            </w:r>
          </w:p>
        </w:tc>
        <w:tc>
          <w:tcPr>
            <w:tcW w:w="13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(181)</w:t>
            </w: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Interest received</w:t>
            </w: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(investment in) short term bank deposits, net of investments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1,816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15,086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27,652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0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Cash Flows from Financing Activities: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Proceeds from exercise of options</w:t>
            </w:r>
          </w:p>
        </w:tc>
        <w:tc>
          <w:tcPr>
            <w:tcW w:w="3280" w:type="dxa"/>
            <w:vAlign w:val="bottom"/>
            <w:tcBorders>
              <w:top w:val="single" w:sz="8" w:color="CCEEFF"/>
            </w:tcBorders>
            <w:gridSpan w:val="2"/>
          </w:tcPr>
          <w:p>
            <w:pPr>
              <w:spacing w:after="0"/>
              <w:rPr>
                <w:sz w:val="22"/>
                <w:szCs w:val="22"/>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7</w:t>
            </w:r>
          </w:p>
        </w:tc>
        <w:tc>
          <w:tcPr>
            <w:tcW w:w="13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issuance of shares and warrants, net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Proceeds from IIA grants, net of repayments</w:t>
            </w: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22,995</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Exchange rate differences on cash and cash equivalent balances</w:t>
            </w: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 from continuing activities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80" w:type="dxa"/>
            <w:vAlign w:val="bottom"/>
            <w:gridSpan w:val="4"/>
          </w:tcPr>
          <w:p>
            <w:pPr>
              <w:spacing w:after="0"/>
              <w:rPr>
                <w:sz w:val="20"/>
                <w:szCs w:val="20"/>
                <w:color w:val="auto"/>
              </w:rPr>
            </w:pPr>
            <w:r>
              <w:rPr>
                <w:rFonts w:ascii="Arial" w:cs="Arial" w:eastAsia="Arial" w:hAnsi="Arial"/>
                <w:sz w:val="18"/>
                <w:szCs w:val="18"/>
                <w:color w:val="auto"/>
              </w:rPr>
              <w:t>Decrease in cash and cash equivalents from discontinued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(1,563)</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(1,563)</w:t>
            </w:r>
          </w:p>
        </w:tc>
        <w:tc>
          <w:tcPr>
            <w:tcW w:w="34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25,402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Balance of cash and cash equivalents at the end of the period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36,069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28,866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36,069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28,866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2019-12-08T09:59:32Z</dcterms:created>
  <dcterms:modified xsi:type="dcterms:W3CDTF">2019-12-08T09:59:32Z</dcterms:modified>
</cp:coreProperties>
</file>